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BF" w:rsidRPr="0090687C" w:rsidRDefault="007D3DBF" w:rsidP="009023FE">
      <w:pPr>
        <w:spacing w:after="1440"/>
        <w:rPr>
          <w:rFonts w:eastAsia="Calibri" w:cs="Arial"/>
          <w:sz w:val="16"/>
        </w:rPr>
      </w:pPr>
    </w:p>
    <w:p w:rsidR="007D3DBF" w:rsidRPr="0090687C" w:rsidRDefault="007D3DBF" w:rsidP="007D3DBF">
      <w:pPr>
        <w:pBdr>
          <w:bottom w:val="single" w:sz="24" w:space="1" w:color="auto"/>
        </w:pBdr>
        <w:tabs>
          <w:tab w:val="left" w:pos="6660"/>
        </w:tabs>
        <w:rPr>
          <w:rFonts w:eastAsia="Calibri" w:cs="Arial"/>
          <w:sz w:val="32"/>
        </w:rPr>
      </w:pPr>
      <w:r w:rsidRPr="0090687C">
        <w:rPr>
          <w:rFonts w:eastAsia="Calibri" w:cs="Arial"/>
          <w:noProof/>
          <w:sz w:val="72"/>
          <w:lang w:eastAsia="el-GR"/>
        </w:rPr>
        <w:drawing>
          <wp:inline distT="0" distB="0" distL="0" distR="0" wp14:anchorId="47A92AF2" wp14:editId="3FE15198">
            <wp:extent cx="4152900" cy="1438275"/>
            <wp:effectExtent l="0" t="0" r="0" b="9525"/>
            <wp:docPr id="1" name="Εικόνα 1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BF" w:rsidRPr="0090687C" w:rsidRDefault="007D3DBF" w:rsidP="007D3DBF">
      <w:pPr>
        <w:pBdr>
          <w:bottom w:val="single" w:sz="24" w:space="1" w:color="auto"/>
        </w:pBdr>
        <w:tabs>
          <w:tab w:val="left" w:pos="6660"/>
        </w:tabs>
        <w:rPr>
          <w:rFonts w:eastAsia="Calibri" w:cs="Arial"/>
          <w:sz w:val="12"/>
        </w:rPr>
      </w:pPr>
    </w:p>
    <w:p w:rsidR="007D3DBF" w:rsidRPr="0090687C" w:rsidRDefault="007D3DBF" w:rsidP="007D3DBF">
      <w:pPr>
        <w:spacing w:after="600"/>
        <w:rPr>
          <w:rFonts w:eastAsia="Calibri" w:cs="Arial"/>
          <w:sz w:val="16"/>
        </w:rPr>
      </w:pPr>
    </w:p>
    <w:p w:rsidR="00016678" w:rsidRPr="00FE507A" w:rsidRDefault="00FE507A" w:rsidP="0070010D">
      <w:pPr>
        <w:rPr>
          <w:rFonts w:eastAsiaTheme="majorEastAsia" w:cstheme="majorBidi"/>
          <w:b/>
          <w:spacing w:val="5"/>
          <w:kern w:val="28"/>
          <w:sz w:val="28"/>
          <w:szCs w:val="28"/>
        </w:rPr>
      </w:pPr>
      <w:r>
        <w:rPr>
          <w:rFonts w:eastAsiaTheme="majorEastAsia" w:cstheme="majorBidi"/>
          <w:b/>
          <w:spacing w:val="5"/>
          <w:kern w:val="28"/>
          <w:sz w:val="28"/>
          <w:szCs w:val="28"/>
        </w:rPr>
        <w:t>Χρημα</w:t>
      </w:r>
      <w:r w:rsidR="00016678" w:rsidRPr="00FE507A">
        <w:rPr>
          <w:rFonts w:eastAsiaTheme="majorEastAsia" w:cstheme="majorBidi"/>
          <w:b/>
          <w:spacing w:val="5"/>
          <w:kern w:val="28"/>
          <w:sz w:val="28"/>
          <w:szCs w:val="28"/>
        </w:rPr>
        <w:t>τοοικονομική Λογιστική</w:t>
      </w:r>
    </w:p>
    <w:p w:rsidR="007D3DBF" w:rsidRPr="00FE507A" w:rsidRDefault="009F2FC3" w:rsidP="0070010D">
      <w:pPr>
        <w:rPr>
          <w:rFonts w:eastAsia="Calibri"/>
          <w:sz w:val="24"/>
          <w:szCs w:val="24"/>
        </w:rPr>
      </w:pPr>
      <w:r w:rsidRPr="00FE507A">
        <w:rPr>
          <w:rFonts w:eastAsia="Calibri"/>
          <w:b/>
          <w:sz w:val="24"/>
          <w:szCs w:val="24"/>
        </w:rPr>
        <w:t xml:space="preserve">Ενότητα </w:t>
      </w:r>
      <w:r w:rsidR="00716A1A" w:rsidRPr="00FE507A">
        <w:rPr>
          <w:rFonts w:eastAsia="Calibri"/>
          <w:b/>
          <w:sz w:val="24"/>
          <w:szCs w:val="24"/>
        </w:rPr>
        <w:t>1</w:t>
      </w:r>
      <w:r w:rsidR="00D0763F" w:rsidRPr="00FE507A">
        <w:rPr>
          <w:rFonts w:eastAsia="Calibri"/>
          <w:b/>
          <w:sz w:val="24"/>
          <w:szCs w:val="24"/>
        </w:rPr>
        <w:t>4</w:t>
      </w:r>
      <w:r w:rsidR="007D3DBF" w:rsidRPr="00FE507A">
        <w:rPr>
          <w:rFonts w:eastAsia="Calibri"/>
          <w:b/>
          <w:sz w:val="24"/>
          <w:szCs w:val="24"/>
        </w:rPr>
        <w:t>:</w:t>
      </w:r>
      <w:r w:rsidR="00394035" w:rsidRPr="00FE507A">
        <w:rPr>
          <w:sz w:val="24"/>
          <w:szCs w:val="24"/>
        </w:rPr>
        <w:t xml:space="preserve"> </w:t>
      </w:r>
      <w:r w:rsidR="00D0763F" w:rsidRPr="00FE507A">
        <w:rPr>
          <w:rFonts w:eastAsia="Calibri"/>
          <w:sz w:val="24"/>
          <w:szCs w:val="24"/>
        </w:rPr>
        <w:t>Κατάσταση Λογαριασμού «Αποτελέσματα Χρήσης»</w:t>
      </w:r>
    </w:p>
    <w:p w:rsidR="007D3DBF" w:rsidRPr="00FE507A" w:rsidRDefault="005337E0" w:rsidP="0070010D">
      <w:pPr>
        <w:rPr>
          <w:rFonts w:eastAsia="Calibri"/>
          <w:sz w:val="24"/>
          <w:szCs w:val="24"/>
        </w:rPr>
      </w:pPr>
      <w:r w:rsidRPr="005337E0">
        <w:rPr>
          <w:rFonts w:eastAsia="Calibri"/>
          <w:sz w:val="24"/>
          <w:szCs w:val="24"/>
        </w:rPr>
        <w:t>Παπαγεωργίου Γεώργιος, Έκτακτος Καθηγητής</w:t>
      </w:r>
      <w:bookmarkStart w:id="0" w:name="_GoBack"/>
      <w:bookmarkEnd w:id="0"/>
    </w:p>
    <w:p w:rsidR="00915B3E" w:rsidRPr="00FE507A" w:rsidRDefault="00915B3E" w:rsidP="00E06BC6">
      <w:pPr>
        <w:spacing w:after="0"/>
        <w:rPr>
          <w:rFonts w:eastAsia="Calibri"/>
          <w:sz w:val="24"/>
          <w:szCs w:val="24"/>
        </w:rPr>
      </w:pPr>
      <w:r w:rsidRPr="00FE507A">
        <w:rPr>
          <w:rFonts w:eastAsia="Calibri"/>
          <w:sz w:val="24"/>
          <w:szCs w:val="24"/>
        </w:rPr>
        <w:t>Σχολή Τεχνολογικών Εφαρμογών</w:t>
      </w:r>
    </w:p>
    <w:p w:rsidR="007D3DBF" w:rsidRPr="00FE507A" w:rsidRDefault="007D3DBF" w:rsidP="0070010D">
      <w:pPr>
        <w:rPr>
          <w:rFonts w:eastAsia="Calibri"/>
          <w:sz w:val="24"/>
          <w:szCs w:val="24"/>
        </w:rPr>
      </w:pPr>
      <w:r w:rsidRPr="00FE507A">
        <w:rPr>
          <w:rFonts w:eastAsia="Calibri"/>
          <w:sz w:val="24"/>
          <w:szCs w:val="24"/>
        </w:rPr>
        <w:t xml:space="preserve">Τμήμα </w:t>
      </w:r>
      <w:r w:rsidR="00016678" w:rsidRPr="00FE507A">
        <w:rPr>
          <w:rFonts w:eastAsia="Calibri"/>
          <w:sz w:val="24"/>
          <w:szCs w:val="24"/>
        </w:rPr>
        <w:t>Λογιστικής και Χρηματοοικονομικής</w:t>
      </w:r>
    </w:p>
    <w:p w:rsidR="007D3DBF" w:rsidRPr="0090687C" w:rsidRDefault="007D3DBF" w:rsidP="007D3DBF">
      <w:pPr>
        <w:pBdr>
          <w:bottom w:val="single" w:sz="24" w:space="1" w:color="auto"/>
        </w:pBdr>
        <w:rPr>
          <w:rFonts w:eastAsia="Calibri" w:cs="Arial"/>
          <w:sz w:val="12"/>
        </w:rPr>
      </w:pPr>
    </w:p>
    <w:p w:rsidR="007D3DBF" w:rsidRPr="0090687C" w:rsidRDefault="007D3DBF" w:rsidP="0070010D">
      <w:pPr>
        <w:spacing w:after="240"/>
        <w:rPr>
          <w:rFonts w:eastAsia="Calibri" w:cs="Arial"/>
          <w:sz w:val="16"/>
          <w:lang w:bidi="en-US"/>
        </w:rPr>
      </w:pPr>
      <w:bookmarkStart w:id="1" w:name="_Toc367176340"/>
      <w:bookmarkStart w:id="2" w:name="_Toc367132085"/>
      <w:bookmarkStart w:id="3" w:name="_Toc367101078"/>
      <w:bookmarkStart w:id="4" w:name="_Toc367101036"/>
      <w:bookmarkStart w:id="5" w:name="_Toc367100747"/>
      <w:r w:rsidRPr="0090687C">
        <w:rPr>
          <w:rFonts w:eastAsia="Calibri"/>
          <w:sz w:val="16"/>
          <w:lang w:bidi="en-US"/>
        </w:rPr>
        <w:br w:type="page"/>
      </w:r>
      <w:bookmarkStart w:id="6" w:name="_Toc367132086"/>
      <w:bookmarkStart w:id="7" w:name="_Toc367101079"/>
      <w:bookmarkStart w:id="8" w:name="_Toc367101037"/>
      <w:bookmarkStart w:id="9" w:name="_Toc367100748"/>
      <w:bookmarkStart w:id="10" w:name="_Toc367696167"/>
      <w:bookmarkStart w:id="11" w:name="_Toc367695639"/>
      <w:bookmarkStart w:id="12" w:name="_Toc367391117"/>
      <w:bookmarkStart w:id="13" w:name="_Toc367176341"/>
      <w:bookmarkEnd w:id="1"/>
      <w:bookmarkEnd w:id="2"/>
      <w:bookmarkEnd w:id="3"/>
      <w:bookmarkEnd w:id="4"/>
      <w:bookmarkEnd w:id="5"/>
      <w:r w:rsidRPr="0090687C">
        <w:rPr>
          <w:rFonts w:eastAsia="Calibri"/>
          <w:b/>
          <w:sz w:val="20"/>
        </w:rPr>
        <w:lastRenderedPageBreak/>
        <w:t>Χρηματοδότηση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7D3DBF" w:rsidRPr="0090687C" w:rsidRDefault="007D3DBF" w:rsidP="00D5283B">
      <w:pPr>
        <w:pStyle w:val="ListParagraph"/>
        <w:numPr>
          <w:ilvl w:val="0"/>
          <w:numId w:val="1"/>
        </w:numPr>
        <w:rPr>
          <w:rFonts w:eastAsia="Calibri"/>
          <w:sz w:val="16"/>
          <w:lang w:bidi="en-US"/>
        </w:rPr>
      </w:pPr>
      <w:r w:rsidRPr="0090687C">
        <w:rPr>
          <w:rFonts w:eastAsia="Calibri"/>
          <w:sz w:val="16"/>
          <w:lang w:bidi="en-US"/>
        </w:rPr>
        <w:t>Το παρόν εκπαιδ</w:t>
      </w:r>
      <w:r w:rsidR="00E06BC6" w:rsidRPr="0090687C">
        <w:rPr>
          <w:rFonts w:eastAsia="Calibri"/>
          <w:sz w:val="16"/>
          <w:lang w:bidi="en-US"/>
        </w:rPr>
        <w:t>ευτικό υλικό έχει αναπτυχθεί στο πλαίσιο</w:t>
      </w:r>
      <w:r w:rsidRPr="0090687C">
        <w:rPr>
          <w:rFonts w:eastAsia="Calibri"/>
          <w:sz w:val="16"/>
          <w:lang w:bidi="en-US"/>
        </w:rPr>
        <w:t xml:space="preserve"> του εκπαιδευτικού έργου του διδάσκοντα.</w:t>
      </w:r>
    </w:p>
    <w:p w:rsidR="007D3DBF" w:rsidRPr="0090687C" w:rsidRDefault="007D3DBF" w:rsidP="00D5283B">
      <w:pPr>
        <w:pStyle w:val="ListParagraph"/>
        <w:numPr>
          <w:ilvl w:val="0"/>
          <w:numId w:val="1"/>
        </w:numPr>
        <w:rPr>
          <w:rFonts w:eastAsia="Calibri"/>
          <w:sz w:val="16"/>
        </w:rPr>
      </w:pPr>
      <w:r w:rsidRPr="0090687C">
        <w:rPr>
          <w:rFonts w:eastAsia="Calibri"/>
          <w:sz w:val="16"/>
        </w:rPr>
        <w:t>Το έργο «</w:t>
      </w:r>
      <w:r w:rsidRPr="0090687C">
        <w:rPr>
          <w:rFonts w:eastAsia="Calibri"/>
          <w:b/>
          <w:bCs/>
          <w:sz w:val="16"/>
        </w:rPr>
        <w:t>Ανοικτά Ακαδημαϊκά Μαθήματα στο Τ.Ε.Ι. Θεσσαλίας</w:t>
      </w:r>
      <w:r w:rsidRPr="0090687C">
        <w:rPr>
          <w:rFonts w:eastAsia="Calibri"/>
          <w:sz w:val="16"/>
        </w:rPr>
        <w:t>» έχει χρηματοδοτήσει μόνο τη</w:t>
      </w:r>
      <w:r w:rsidR="0070010D" w:rsidRPr="0090687C">
        <w:rPr>
          <w:rFonts w:eastAsia="Calibri"/>
          <w:sz w:val="16"/>
        </w:rPr>
        <w:t>ν</w:t>
      </w:r>
      <w:r w:rsidRPr="0090687C">
        <w:rPr>
          <w:rFonts w:eastAsia="Calibri"/>
          <w:sz w:val="16"/>
        </w:rPr>
        <w:t xml:space="preserve"> αναδιαμόρφωση του εκπαιδευτικού υλικού. </w:t>
      </w:r>
    </w:p>
    <w:p w:rsidR="007D3DBF" w:rsidRPr="0090687C" w:rsidRDefault="007D3DBF" w:rsidP="00D5283B">
      <w:pPr>
        <w:pStyle w:val="ListParagraph"/>
        <w:numPr>
          <w:ilvl w:val="0"/>
          <w:numId w:val="1"/>
        </w:numPr>
        <w:rPr>
          <w:rFonts w:eastAsia="Calibri"/>
          <w:sz w:val="16"/>
          <w:lang w:bidi="en-US"/>
        </w:rPr>
      </w:pPr>
      <w:r w:rsidRPr="0090687C">
        <w:rPr>
          <w:rFonts w:eastAsia="Calibri"/>
          <w:sz w:val="16"/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7D3DBF" w:rsidRPr="0090687C" w:rsidRDefault="007D3DBF" w:rsidP="007D3DBF">
      <w:pPr>
        <w:spacing w:after="0"/>
        <w:rPr>
          <w:rFonts w:cs="Arial"/>
          <w:sz w:val="16"/>
          <w:lang w:bidi="en-US"/>
        </w:rPr>
      </w:pPr>
    </w:p>
    <w:p w:rsidR="007D3DBF" w:rsidRPr="0090687C" w:rsidRDefault="007D3DBF" w:rsidP="007D3DBF">
      <w:pPr>
        <w:rPr>
          <w:rFonts w:cs="Arial"/>
          <w:noProof/>
          <w:sz w:val="14"/>
          <w:lang w:val="en-US"/>
        </w:rPr>
      </w:pPr>
      <w:r w:rsidRPr="0090687C">
        <w:rPr>
          <w:rFonts w:cs="Arial"/>
          <w:noProof/>
          <w:sz w:val="14"/>
          <w:lang w:eastAsia="el-GR"/>
        </w:rPr>
        <w:drawing>
          <wp:inline distT="0" distB="0" distL="0" distR="0" wp14:anchorId="4203F93A" wp14:editId="2D7D0B13">
            <wp:extent cx="5276850" cy="1257300"/>
            <wp:effectExtent l="0" t="0" r="0" b="0"/>
            <wp:docPr id="3" name="Εικόνα 3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 title="Λογότυπο χρηματοδότησης">
              <a:hlinkClick xmlns:a="http://schemas.openxmlformats.org/drawingml/2006/main" r:id="rId12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2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746" w:rsidRPr="0090687C" w:rsidRDefault="00E46746" w:rsidP="00E46746">
      <w:pPr>
        <w:spacing w:after="1800"/>
        <w:rPr>
          <w:rFonts w:eastAsia="Calibri" w:cs="Arial"/>
          <w:sz w:val="16"/>
        </w:rPr>
      </w:pPr>
      <w:bookmarkStart w:id="14" w:name="_Toc367176342"/>
      <w:bookmarkStart w:id="15" w:name="_Toc367391118"/>
      <w:bookmarkStart w:id="16" w:name="_Toc367695640"/>
      <w:bookmarkStart w:id="17" w:name="_Toc367696168"/>
      <w:bookmarkStart w:id="18" w:name="_Toc367132087"/>
    </w:p>
    <w:p w:rsidR="009376C1" w:rsidRPr="0090687C" w:rsidRDefault="009376C1" w:rsidP="00E46746">
      <w:pPr>
        <w:spacing w:after="1800"/>
        <w:rPr>
          <w:rFonts w:eastAsia="Calibri" w:cs="Arial"/>
          <w:sz w:val="16"/>
        </w:rPr>
      </w:pPr>
    </w:p>
    <w:p w:rsidR="009376C1" w:rsidRPr="0090687C" w:rsidRDefault="009376C1" w:rsidP="00E46746">
      <w:pPr>
        <w:spacing w:after="1800"/>
        <w:rPr>
          <w:rFonts w:eastAsia="Calibri" w:cs="Arial"/>
          <w:sz w:val="16"/>
        </w:rPr>
      </w:pPr>
    </w:p>
    <w:p w:rsidR="009376C1" w:rsidRPr="0090687C" w:rsidRDefault="009376C1" w:rsidP="002E7ABB">
      <w:pPr>
        <w:spacing w:after="1800"/>
        <w:jc w:val="right"/>
        <w:rPr>
          <w:rFonts w:eastAsia="Calibri" w:cs="Arial"/>
          <w:sz w:val="16"/>
        </w:rPr>
      </w:pPr>
    </w:p>
    <w:p w:rsidR="00F91B92" w:rsidRPr="0090687C" w:rsidRDefault="0090687C" w:rsidP="002D2443">
      <w:pPr>
        <w:tabs>
          <w:tab w:val="left" w:pos="1630"/>
          <w:tab w:val="left" w:pos="2431"/>
        </w:tabs>
        <w:spacing w:after="1800"/>
        <w:rPr>
          <w:rFonts w:eastAsia="Calibri" w:cs="Arial"/>
          <w:sz w:val="16"/>
        </w:rPr>
      </w:pPr>
      <w:r w:rsidRPr="0090687C">
        <w:rPr>
          <w:rFonts w:eastAsia="Calibri" w:cs="Arial"/>
          <w:sz w:val="16"/>
        </w:rPr>
        <w:tab/>
      </w:r>
      <w:r w:rsidR="002D2443">
        <w:rPr>
          <w:rFonts w:eastAsia="Calibri" w:cs="Arial"/>
          <w:sz w:val="16"/>
        </w:rPr>
        <w:tab/>
      </w:r>
    </w:p>
    <w:bookmarkEnd w:id="18" w:displacedByCustomXml="next"/>
    <w:bookmarkEnd w:id="17" w:displacedByCustomXml="next"/>
    <w:bookmarkEnd w:id="16" w:displacedByCustomXml="next"/>
    <w:bookmarkEnd w:id="15" w:displacedByCustomXml="next"/>
    <w:bookmarkEnd w:id="14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3675666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70188" w:rsidRPr="00170188" w:rsidRDefault="00170188">
          <w:pPr>
            <w:pStyle w:val="TOCHeading"/>
            <w:rPr>
              <w:lang w:val="en-US"/>
            </w:rPr>
          </w:pPr>
          <w:r w:rsidRPr="00170188">
            <w:rPr>
              <w:lang w:val="en-US"/>
            </w:rPr>
            <w:t>Table of Contents</w:t>
          </w:r>
        </w:p>
        <w:p w:rsidR="006E3F9D" w:rsidRDefault="00170188">
          <w:pPr>
            <w:pStyle w:val="TOC1"/>
            <w:rPr>
              <w:noProof/>
              <w:lang w:eastAsia="el-GR"/>
            </w:rPr>
          </w:pPr>
          <w:r>
            <w:fldChar w:fldCharType="begin"/>
          </w:r>
          <w:r w:rsidRPr="00170188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441571819" w:history="1">
            <w:r w:rsidR="006E3F9D" w:rsidRPr="00513579">
              <w:rPr>
                <w:rStyle w:val="Hyperlink"/>
                <w:noProof/>
              </w:rPr>
              <w:t>1. Γενικά</w:t>
            </w:r>
            <w:r w:rsidR="006E3F9D">
              <w:rPr>
                <w:noProof/>
                <w:webHidden/>
              </w:rPr>
              <w:tab/>
            </w:r>
            <w:r w:rsidR="006E3F9D">
              <w:rPr>
                <w:noProof/>
                <w:webHidden/>
              </w:rPr>
              <w:fldChar w:fldCharType="begin"/>
            </w:r>
            <w:r w:rsidR="006E3F9D">
              <w:rPr>
                <w:noProof/>
                <w:webHidden/>
              </w:rPr>
              <w:instrText xml:space="preserve"> PAGEREF _Toc441571819 \h </w:instrText>
            </w:r>
            <w:r w:rsidR="006E3F9D">
              <w:rPr>
                <w:noProof/>
                <w:webHidden/>
              </w:rPr>
            </w:r>
            <w:r w:rsidR="006E3F9D">
              <w:rPr>
                <w:noProof/>
                <w:webHidden/>
              </w:rPr>
              <w:fldChar w:fldCharType="separate"/>
            </w:r>
            <w:r w:rsidR="006E3F9D">
              <w:rPr>
                <w:noProof/>
                <w:webHidden/>
              </w:rPr>
              <w:t>4</w:t>
            </w:r>
            <w:r w:rsidR="006E3F9D">
              <w:rPr>
                <w:noProof/>
                <w:webHidden/>
              </w:rPr>
              <w:fldChar w:fldCharType="end"/>
            </w:r>
          </w:hyperlink>
        </w:p>
        <w:p w:rsidR="006E3F9D" w:rsidRDefault="0087119C" w:rsidP="006E3F9D">
          <w:pPr>
            <w:pStyle w:val="TOC2"/>
            <w:rPr>
              <w:rFonts w:asciiTheme="minorHAnsi" w:eastAsiaTheme="minorEastAsia" w:hAnsiTheme="minorHAnsi"/>
              <w:lang w:val="el-GR"/>
            </w:rPr>
          </w:pPr>
          <w:hyperlink w:anchor="_Toc441571820" w:history="1">
            <w:r w:rsidR="006E3F9D" w:rsidRPr="00513579">
              <w:rPr>
                <w:rStyle w:val="Hyperlink"/>
              </w:rPr>
              <w:t xml:space="preserve">2. </w:t>
            </w:r>
            <w:r w:rsidR="006E3F9D" w:rsidRPr="00513579">
              <w:rPr>
                <w:rStyle w:val="Hyperlink"/>
                <w:rFonts w:ascii="Times New Roman" w:hAnsi="Times New Roman" w:cs="Times New Roman"/>
              </w:rPr>
              <w:t>Κατηγορίες</w:t>
            </w:r>
            <w:r w:rsidR="006E3F9D" w:rsidRPr="00513579">
              <w:rPr>
                <w:rStyle w:val="Hyperlink"/>
              </w:rPr>
              <w:t xml:space="preserve"> </w:t>
            </w:r>
            <w:r w:rsidR="006E3F9D" w:rsidRPr="00513579">
              <w:rPr>
                <w:rStyle w:val="Hyperlink"/>
                <w:rFonts w:ascii="Times New Roman" w:hAnsi="Times New Roman" w:cs="Times New Roman"/>
              </w:rPr>
              <w:t>κονδυλίων</w:t>
            </w:r>
            <w:r w:rsidR="006E3F9D">
              <w:rPr>
                <w:webHidden/>
              </w:rPr>
              <w:tab/>
            </w:r>
            <w:r w:rsidR="006E3F9D">
              <w:rPr>
                <w:webHidden/>
              </w:rPr>
              <w:fldChar w:fldCharType="begin"/>
            </w:r>
            <w:r w:rsidR="006E3F9D">
              <w:rPr>
                <w:webHidden/>
              </w:rPr>
              <w:instrText xml:space="preserve"> PAGEREF _Toc441571820 \h </w:instrText>
            </w:r>
            <w:r w:rsidR="006E3F9D">
              <w:rPr>
                <w:webHidden/>
              </w:rPr>
            </w:r>
            <w:r w:rsidR="006E3F9D">
              <w:rPr>
                <w:webHidden/>
              </w:rPr>
              <w:fldChar w:fldCharType="separate"/>
            </w:r>
            <w:r w:rsidR="006E3F9D">
              <w:rPr>
                <w:webHidden/>
              </w:rPr>
              <w:t>4</w:t>
            </w:r>
            <w:r w:rsidR="006E3F9D">
              <w:rPr>
                <w:webHidden/>
              </w:rPr>
              <w:fldChar w:fldCharType="end"/>
            </w:r>
          </w:hyperlink>
        </w:p>
        <w:p w:rsidR="00170188" w:rsidRPr="00170188" w:rsidRDefault="00170188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F91B92" w:rsidRPr="00170188" w:rsidRDefault="00F91B92" w:rsidP="0070010D">
      <w:pPr>
        <w:spacing w:after="240"/>
        <w:rPr>
          <w:b/>
          <w:color w:val="0070C0"/>
          <w:sz w:val="20"/>
          <w:lang w:val="en-US"/>
        </w:rPr>
      </w:pPr>
    </w:p>
    <w:p w:rsidR="00B722CB" w:rsidRPr="00170188" w:rsidRDefault="00B722CB" w:rsidP="00B722CB">
      <w:pPr>
        <w:rPr>
          <w:rFonts w:eastAsia="Calibri"/>
          <w:lang w:val="en-US"/>
        </w:rPr>
      </w:pPr>
      <w:bookmarkStart w:id="19" w:name="_Toc426570184"/>
    </w:p>
    <w:p w:rsidR="00170188" w:rsidRPr="00170188" w:rsidRDefault="00170188" w:rsidP="00B722CB">
      <w:pPr>
        <w:rPr>
          <w:rFonts w:eastAsia="Calibri"/>
          <w:lang w:val="en-US"/>
        </w:rPr>
      </w:pPr>
    </w:p>
    <w:p w:rsidR="00170188" w:rsidRPr="00170188" w:rsidRDefault="00170188" w:rsidP="00B722CB">
      <w:pPr>
        <w:rPr>
          <w:rFonts w:eastAsia="Calibri"/>
          <w:lang w:val="en-US"/>
        </w:rPr>
      </w:pPr>
    </w:p>
    <w:p w:rsidR="00170188" w:rsidRPr="00170188" w:rsidRDefault="00170188" w:rsidP="00B722CB">
      <w:pPr>
        <w:rPr>
          <w:rFonts w:eastAsia="Calibri"/>
          <w:lang w:val="en-US"/>
        </w:rPr>
      </w:pPr>
    </w:p>
    <w:p w:rsidR="00170188" w:rsidRPr="00170188" w:rsidRDefault="00170188" w:rsidP="00B722CB">
      <w:pPr>
        <w:rPr>
          <w:rFonts w:eastAsia="Calibri"/>
          <w:lang w:val="en-US"/>
        </w:rPr>
      </w:pPr>
    </w:p>
    <w:p w:rsidR="00170188" w:rsidRPr="00170188" w:rsidRDefault="00170188" w:rsidP="00B722CB">
      <w:pPr>
        <w:rPr>
          <w:rFonts w:eastAsia="Calibri"/>
          <w:lang w:val="en-US"/>
        </w:rPr>
      </w:pPr>
    </w:p>
    <w:p w:rsidR="00170188" w:rsidRPr="00170188" w:rsidRDefault="00170188" w:rsidP="00B722CB">
      <w:pPr>
        <w:rPr>
          <w:rFonts w:eastAsia="Calibri"/>
          <w:lang w:val="en-US"/>
        </w:rPr>
      </w:pPr>
    </w:p>
    <w:p w:rsidR="00170188" w:rsidRPr="00170188" w:rsidRDefault="00170188" w:rsidP="00B722CB">
      <w:pPr>
        <w:rPr>
          <w:rFonts w:eastAsia="Calibri"/>
          <w:lang w:val="en-US"/>
        </w:rPr>
      </w:pPr>
    </w:p>
    <w:p w:rsidR="00170188" w:rsidRPr="00170188" w:rsidRDefault="00170188" w:rsidP="00B722CB">
      <w:pPr>
        <w:rPr>
          <w:rFonts w:eastAsia="Calibri"/>
          <w:lang w:val="en-US"/>
        </w:rPr>
      </w:pPr>
    </w:p>
    <w:p w:rsidR="00170188" w:rsidRPr="00170188" w:rsidRDefault="00170188" w:rsidP="00B722CB">
      <w:pPr>
        <w:rPr>
          <w:rFonts w:eastAsia="Calibri"/>
          <w:lang w:val="en-US"/>
        </w:rPr>
      </w:pPr>
    </w:p>
    <w:p w:rsidR="00170188" w:rsidRPr="00170188" w:rsidRDefault="00170188" w:rsidP="00B722CB">
      <w:pPr>
        <w:rPr>
          <w:rFonts w:eastAsia="Calibri"/>
          <w:lang w:val="en-US"/>
        </w:rPr>
      </w:pPr>
    </w:p>
    <w:p w:rsidR="00170188" w:rsidRPr="00170188" w:rsidRDefault="00170188" w:rsidP="00B722CB">
      <w:pPr>
        <w:rPr>
          <w:rFonts w:eastAsia="Calibri"/>
          <w:lang w:val="en-US"/>
        </w:rPr>
      </w:pPr>
    </w:p>
    <w:p w:rsidR="00170188" w:rsidRDefault="00170188" w:rsidP="00B722CB">
      <w:pPr>
        <w:rPr>
          <w:rFonts w:eastAsia="Calibri"/>
        </w:rPr>
      </w:pPr>
    </w:p>
    <w:p w:rsidR="002D19CB" w:rsidRDefault="002D19CB" w:rsidP="00B722CB">
      <w:pPr>
        <w:rPr>
          <w:rFonts w:eastAsia="Calibri"/>
        </w:rPr>
      </w:pPr>
    </w:p>
    <w:p w:rsidR="002D19CB" w:rsidRDefault="002D19CB" w:rsidP="00B722CB">
      <w:pPr>
        <w:rPr>
          <w:rFonts w:eastAsia="Calibri"/>
        </w:rPr>
      </w:pPr>
    </w:p>
    <w:p w:rsidR="002D19CB" w:rsidRDefault="002D19CB" w:rsidP="00B722CB">
      <w:pPr>
        <w:rPr>
          <w:rFonts w:eastAsia="Calibri"/>
        </w:rPr>
      </w:pPr>
    </w:p>
    <w:p w:rsidR="002D19CB" w:rsidRDefault="002D19CB" w:rsidP="00B722CB">
      <w:pPr>
        <w:rPr>
          <w:rFonts w:eastAsia="Calibri"/>
        </w:rPr>
      </w:pPr>
    </w:p>
    <w:p w:rsidR="002D19CB" w:rsidRDefault="002D19CB" w:rsidP="00B722CB">
      <w:pPr>
        <w:rPr>
          <w:rFonts w:eastAsia="Calibri"/>
        </w:rPr>
      </w:pPr>
    </w:p>
    <w:p w:rsidR="002D19CB" w:rsidRDefault="002D19CB" w:rsidP="00B722CB">
      <w:pPr>
        <w:rPr>
          <w:rFonts w:eastAsia="Calibri"/>
        </w:rPr>
      </w:pPr>
    </w:p>
    <w:p w:rsidR="002D19CB" w:rsidRDefault="002D19CB" w:rsidP="00B722CB">
      <w:pPr>
        <w:rPr>
          <w:rFonts w:eastAsia="Calibri"/>
        </w:rPr>
      </w:pPr>
    </w:p>
    <w:p w:rsidR="002D19CB" w:rsidRDefault="002D19CB" w:rsidP="00B722CB">
      <w:pPr>
        <w:rPr>
          <w:rFonts w:eastAsia="Calibri"/>
        </w:rPr>
      </w:pPr>
    </w:p>
    <w:p w:rsidR="004C4CAF" w:rsidRDefault="004C4CAF" w:rsidP="00B722CB">
      <w:pPr>
        <w:rPr>
          <w:rFonts w:eastAsia="Calibri"/>
        </w:rPr>
      </w:pPr>
    </w:p>
    <w:p w:rsidR="004C4CAF" w:rsidRDefault="004C4CAF" w:rsidP="00B722CB">
      <w:pPr>
        <w:rPr>
          <w:rFonts w:eastAsia="Calibri"/>
        </w:rPr>
      </w:pPr>
    </w:p>
    <w:p w:rsidR="00BD5FC3" w:rsidRPr="00683609" w:rsidRDefault="00BD5FC3" w:rsidP="002D2EA0">
      <w:pPr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683609">
        <w:rPr>
          <w:rFonts w:ascii="Times New Roman" w:eastAsia="Times New Roman" w:hAnsi="Times New Roman"/>
          <w:b/>
          <w:sz w:val="24"/>
          <w:szCs w:val="24"/>
          <w:lang w:eastAsia="el-GR"/>
        </w:rPr>
        <w:lastRenderedPageBreak/>
        <w:t>ΚΑΤΑΣΤΑΣΗ ΛΟΓΑΡΙΑΣΜΟΥ «ΑΠΟΤΕΛΕΣΜΑΤΑ ΧΡΗΣΗΣ»</w:t>
      </w:r>
    </w:p>
    <w:p w:rsidR="00BD5FC3" w:rsidRPr="006E3F9D" w:rsidRDefault="00D51581" w:rsidP="006E3F9D">
      <w:pPr>
        <w:pStyle w:val="Heading1"/>
      </w:pPr>
      <w:bookmarkStart w:id="20" w:name="_Toc441571819"/>
      <w:r w:rsidRPr="006E3F9D">
        <w:t>1</w:t>
      </w:r>
      <w:r w:rsidR="00BD5FC3" w:rsidRPr="006E3F9D">
        <w:t>. Γενικά</w:t>
      </w:r>
      <w:bookmarkEnd w:id="20"/>
    </w:p>
    <w:p w:rsidR="00BD5FC3" w:rsidRPr="00683609" w:rsidRDefault="00BD5FC3" w:rsidP="00BD5FC3">
      <w:pPr>
        <w:rPr>
          <w:rFonts w:ascii="Times New Roman" w:eastAsia="Times New Roman" w:hAnsi="Times New Roman"/>
          <w:sz w:val="24"/>
          <w:szCs w:val="24"/>
          <w:lang w:eastAsia="el-GR"/>
        </w:rPr>
      </w:pPr>
      <w:r w:rsidRPr="00525EEC">
        <w:rPr>
          <w:rFonts w:ascii="Times New Roman" w:eastAsia="Times New Roman" w:hAnsi="Times New Roman"/>
          <w:sz w:val="24"/>
          <w:szCs w:val="24"/>
          <w:lang w:eastAsia="el-GR"/>
        </w:rPr>
        <w:t>Η κατάσταση του λογαριασμού αποτελεσμάτων χρήσεως καταρτίζεται υποχρεωτικά στο τέλος κάθε χρήσεως, σύμφωνα μ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ε το υπόδειγμα της παρ. </w:t>
      </w:r>
      <w:r w:rsidRPr="00AA368C">
        <w:rPr>
          <w:rFonts w:ascii="Modern No. 20" w:eastAsia="Times New Roman" w:hAnsi="Modern No. 20"/>
          <w:sz w:val="24"/>
          <w:szCs w:val="24"/>
          <w:lang w:eastAsia="el-GR"/>
        </w:rPr>
        <w:t>4.1.202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του Ε.Γ.Λ.Σ. που επισυνάπτεται.</w:t>
      </w:r>
    </w:p>
    <w:p w:rsidR="00BD5FC3" w:rsidRPr="007B569A" w:rsidRDefault="00BD5FC3" w:rsidP="00BD5FC3">
      <w:pPr>
        <w:rPr>
          <w:rFonts w:ascii="Times New Roman" w:eastAsia="Times New Roman" w:hAnsi="Times New Roman"/>
          <w:sz w:val="24"/>
          <w:szCs w:val="24"/>
          <w:lang w:eastAsia="el-GR"/>
        </w:rPr>
      </w:pPr>
      <w:r w:rsidRPr="00525EEC">
        <w:rPr>
          <w:rFonts w:ascii="Times New Roman" w:eastAsia="Times New Roman" w:hAnsi="Times New Roman"/>
          <w:sz w:val="24"/>
          <w:szCs w:val="24"/>
          <w:lang w:eastAsia="el-GR"/>
        </w:rPr>
        <w:t>Η κατάσταση του λογαριασμού αποτελεσμάτων χρήσεως καταχωρείται στο βιβλίο απογραφών και ισολογισμών των οικονομικών μονάδων και δημοσιεύεται υποχρεωτικά στο τέλος κάθε χρήσεως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BD5FC3" w:rsidRPr="007B569A" w:rsidRDefault="00BD5FC3" w:rsidP="00BD5FC3">
      <w:pPr>
        <w:rPr>
          <w:rFonts w:ascii="Times New Roman" w:eastAsia="Times New Roman" w:hAnsi="Times New Roman"/>
          <w:sz w:val="24"/>
          <w:szCs w:val="24"/>
          <w:lang w:eastAsia="el-GR"/>
        </w:rPr>
      </w:pPr>
      <w:r w:rsidRPr="00525EEC">
        <w:rPr>
          <w:rFonts w:ascii="Times New Roman" w:eastAsia="Times New Roman" w:hAnsi="Times New Roman"/>
          <w:sz w:val="24"/>
          <w:szCs w:val="24"/>
          <w:lang w:eastAsia="el-GR"/>
        </w:rPr>
        <w:t xml:space="preserve">Στην κατάσταση του λογαριασμού αποτελεσμάτων χρήσεως περιλαμβάνονται υποχρεωτικά τουλάχιστον τα στοιχεία του υποδείγματος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του Ισολογισμού</w:t>
      </w:r>
      <w:r w:rsidRPr="00525EEC">
        <w:rPr>
          <w:rFonts w:ascii="Times New Roman" w:eastAsia="Times New Roman" w:hAnsi="Times New Roman"/>
          <w:sz w:val="24"/>
          <w:szCs w:val="24"/>
          <w:lang w:eastAsia="el-GR"/>
        </w:rPr>
        <w:t>. εφόσον τα στοιχεία αυτά υπάρχουν στην οικονομική μονάδα. Επιτρέπεται μεγαλύτερη ανάλυση των κονδυλίων στα οποία αντιστοιχούν αραβικοί αριθμοί.</w:t>
      </w:r>
    </w:p>
    <w:p w:rsidR="00BD5FC3" w:rsidRPr="007B569A" w:rsidRDefault="00BD5FC3" w:rsidP="00BD5FC3">
      <w:pPr>
        <w:rPr>
          <w:rFonts w:ascii="Times New Roman" w:eastAsia="Times New Roman" w:hAnsi="Times New Roman"/>
          <w:sz w:val="24"/>
          <w:szCs w:val="24"/>
          <w:lang w:eastAsia="el-GR"/>
        </w:rPr>
      </w:pPr>
      <w:r w:rsidRPr="00525EEC">
        <w:rPr>
          <w:rFonts w:ascii="Times New Roman" w:eastAsia="Times New Roman" w:hAnsi="Times New Roman"/>
          <w:sz w:val="24"/>
          <w:szCs w:val="24"/>
          <w:lang w:eastAsia="el-GR"/>
        </w:rPr>
        <w:t xml:space="preserve">Η σύμπτυξη κονδυλίων στα οποία αντιστοιχούν αραβικοί αριθμοί επιτρέπεται, εφόσον είναι ασήμαντα και στο προσάρτημα του Ισολογισμού και των αποτελεσμάτων χρήσεως γίνεται ανάλυση των συμπτυγμένων κονδυλίων, σύμφωνα με όσα καθορίζονται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περί του Προσαρτήματος του Ισολογισμού.</w:t>
      </w:r>
    </w:p>
    <w:p w:rsidR="00BD5FC3" w:rsidRPr="007B569A" w:rsidRDefault="00BD5FC3" w:rsidP="00BD5FC3">
      <w:pPr>
        <w:rPr>
          <w:rFonts w:ascii="Times New Roman" w:eastAsia="Times New Roman" w:hAnsi="Times New Roman"/>
          <w:sz w:val="24"/>
          <w:szCs w:val="24"/>
          <w:lang w:eastAsia="el-GR"/>
        </w:rPr>
      </w:pPr>
      <w:r w:rsidRPr="00525EEC">
        <w:rPr>
          <w:rFonts w:ascii="Times New Roman" w:eastAsia="Times New Roman" w:hAnsi="Times New Roman"/>
          <w:sz w:val="24"/>
          <w:szCs w:val="24"/>
          <w:lang w:eastAsia="el-GR"/>
        </w:rPr>
        <w:t xml:space="preserve">Όλα, τα στοιχεία της καταστάσεως του λογαριασμού αποτελεσμάτων χρήσεως απεικονίζονται σε δύο στήλες, στις αξίες που εμφανίζονται στους οικείους </w:t>
      </w:r>
      <w:proofErr w:type="spellStart"/>
      <w:r w:rsidRPr="00525EEC">
        <w:rPr>
          <w:rFonts w:ascii="Times New Roman" w:eastAsia="Times New Roman" w:hAnsi="Times New Roman"/>
          <w:sz w:val="24"/>
          <w:szCs w:val="24"/>
          <w:lang w:eastAsia="el-GR"/>
        </w:rPr>
        <w:t>υπολογαριασμούς</w:t>
      </w:r>
      <w:proofErr w:type="spellEnd"/>
      <w:r w:rsidRPr="00525EEC">
        <w:rPr>
          <w:rFonts w:ascii="Times New Roman" w:eastAsia="Times New Roman" w:hAnsi="Times New Roman"/>
          <w:sz w:val="24"/>
          <w:szCs w:val="24"/>
          <w:lang w:eastAsia="el-GR"/>
        </w:rPr>
        <w:t xml:space="preserve"> του 86 : (1) κατά το τέλος της χρήσεως στην οποία αναφέρονται τα αποτελέσματα και (2) κατά το τέλος της προηγούμενης χρήσεως.</w:t>
      </w:r>
    </w:p>
    <w:p w:rsidR="00BD5FC3" w:rsidRPr="00525EEC" w:rsidRDefault="00BD5FC3" w:rsidP="00BD5FC3">
      <w:pPr>
        <w:rPr>
          <w:rFonts w:ascii="Times New Roman" w:eastAsia="Times New Roman" w:hAnsi="Times New Roman"/>
          <w:sz w:val="24"/>
          <w:szCs w:val="24"/>
          <w:lang w:eastAsia="el-GR"/>
        </w:rPr>
      </w:pPr>
      <w:r w:rsidRPr="00525EEC">
        <w:rPr>
          <w:rFonts w:ascii="Times New Roman" w:eastAsia="Times New Roman" w:hAnsi="Times New Roman"/>
          <w:sz w:val="24"/>
          <w:szCs w:val="24"/>
          <w:lang w:eastAsia="el-GR"/>
        </w:rPr>
        <w:t xml:space="preserve">Στην κατάσταση αποτελεσμάτων χρήσεως που καταχωρείται στο βιβλίο απογραφών και ισολογισμών των οικονομικών μονάδων, για κάθε κονδύλι γίνεται συσχέτιση με τον ή τους κωδικούς αριθμούς των αντίστοιχων λογαριασμών του σχεδίου λογαριασμών, όπως φαίνεται στο υπόδειγμα της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κατάστασης του λογαριασμού «Αποτελέσματα Χρήσης»  του Ε.Γ.Λ.Σ</w:t>
      </w:r>
      <w:r w:rsidRPr="00525EEC">
        <w:rPr>
          <w:rFonts w:ascii="Times New Roman" w:eastAsia="Times New Roman" w:hAnsi="Times New Roman"/>
          <w:sz w:val="24"/>
          <w:szCs w:val="24"/>
          <w:lang w:eastAsia="el-GR"/>
        </w:rPr>
        <w:t xml:space="preserve">. Κατά τη δημοσίευση της καταστάσεως αυτής οι κωδικοί αριθμοί συσχετίσεως είναι δυνατό να παραλείπονται. </w:t>
      </w:r>
    </w:p>
    <w:p w:rsidR="00BD5FC3" w:rsidRPr="009D4DD6" w:rsidRDefault="009D4DD6" w:rsidP="009D4DD6">
      <w:pPr>
        <w:pStyle w:val="Heading2"/>
      </w:pPr>
      <w:bookmarkStart w:id="21" w:name="_Toc441571820"/>
      <w:r w:rsidRPr="009D4DD6">
        <w:t>2. Κατηγορίες κονδυλίων</w:t>
      </w:r>
      <w:bookmarkEnd w:id="21"/>
    </w:p>
    <w:p w:rsidR="00BD5FC3" w:rsidRPr="007A2192" w:rsidRDefault="00BD5FC3" w:rsidP="00BD5FC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Modern No. 20" w:eastAsia="Times New Roman" w:hAnsi="Modern No. 20"/>
          <w:b/>
          <w:sz w:val="24"/>
          <w:szCs w:val="24"/>
          <w:lang w:eastAsia="el-GR"/>
        </w:rPr>
      </w:pP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κύκλος εργασιών (πωλήσεις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)» περιλαμβάνονται τα ακαθάριστα έσοδα, τα οποία απεικονίζονται στους λογαριασμούς </w:t>
      </w:r>
      <w:r w:rsidRPr="007A2192">
        <w:rPr>
          <w:rFonts w:ascii="Times New Roman" w:eastAsia="Times New Roman" w:hAnsi="Times New Roman"/>
          <w:b/>
          <w:sz w:val="24"/>
          <w:szCs w:val="24"/>
          <w:lang w:eastAsia="el-GR"/>
        </w:rPr>
        <w:t>Λ</w:t>
      </w:r>
      <w:r w:rsidRPr="007A2192">
        <w:rPr>
          <w:rFonts w:ascii="Modern No. 20" w:eastAsia="Times New Roman" w:hAnsi="Modern No. 20"/>
          <w:b/>
          <w:sz w:val="24"/>
          <w:szCs w:val="24"/>
          <w:lang w:eastAsia="el-GR"/>
        </w:rPr>
        <w:t xml:space="preserve">.70, </w:t>
      </w:r>
      <w:r w:rsidRPr="007A2192">
        <w:rPr>
          <w:rFonts w:ascii="Times New Roman" w:eastAsia="Times New Roman" w:hAnsi="Times New Roman"/>
          <w:b/>
          <w:sz w:val="24"/>
          <w:szCs w:val="24"/>
          <w:lang w:eastAsia="el-GR"/>
        </w:rPr>
        <w:t>Λ</w:t>
      </w:r>
      <w:r w:rsidRPr="007A2192">
        <w:rPr>
          <w:rFonts w:ascii="Modern No. 20" w:eastAsia="Times New Roman" w:hAnsi="Modern No. 20"/>
          <w:b/>
          <w:sz w:val="24"/>
          <w:szCs w:val="24"/>
          <w:lang w:eastAsia="el-GR"/>
        </w:rPr>
        <w:t xml:space="preserve">.71, </w:t>
      </w:r>
      <w:r w:rsidRPr="007A2192">
        <w:rPr>
          <w:rFonts w:ascii="Times New Roman" w:eastAsia="Times New Roman" w:hAnsi="Times New Roman"/>
          <w:b/>
          <w:sz w:val="24"/>
          <w:szCs w:val="24"/>
          <w:lang w:eastAsia="el-GR"/>
        </w:rPr>
        <w:t>Λ</w:t>
      </w:r>
      <w:r w:rsidRPr="007A2192">
        <w:rPr>
          <w:rFonts w:ascii="Modern No. 20" w:eastAsia="Times New Roman" w:hAnsi="Modern No. 20"/>
          <w:b/>
          <w:sz w:val="24"/>
          <w:szCs w:val="24"/>
          <w:lang w:eastAsia="el-GR"/>
        </w:rPr>
        <w:t xml:space="preserve">.72 </w:t>
      </w:r>
      <w:r w:rsidRPr="007A2192">
        <w:rPr>
          <w:rFonts w:ascii="Times New Roman" w:eastAsia="Times New Roman" w:hAnsi="Times New Roman"/>
          <w:b/>
          <w:sz w:val="24"/>
          <w:szCs w:val="24"/>
          <w:lang w:eastAsia="el-GR"/>
        </w:rPr>
        <w:t>και</w:t>
      </w:r>
      <w:r w:rsidRPr="007A2192">
        <w:rPr>
          <w:rFonts w:ascii="Modern No. 20" w:eastAsia="Times New Roman" w:hAnsi="Modern No. 20"/>
          <w:b/>
          <w:sz w:val="24"/>
          <w:szCs w:val="24"/>
          <w:lang w:eastAsia="el-GR"/>
        </w:rPr>
        <w:t xml:space="preserve"> </w:t>
      </w:r>
      <w:r w:rsidRPr="007A2192">
        <w:rPr>
          <w:rFonts w:ascii="Times New Roman" w:eastAsia="Times New Roman" w:hAnsi="Times New Roman"/>
          <w:b/>
          <w:sz w:val="24"/>
          <w:szCs w:val="24"/>
          <w:lang w:eastAsia="el-GR"/>
        </w:rPr>
        <w:t>Λ</w:t>
      </w:r>
      <w:r w:rsidRPr="007A2192">
        <w:rPr>
          <w:rFonts w:ascii="Modern No. 20" w:eastAsia="Times New Roman" w:hAnsi="Modern No. 20"/>
          <w:b/>
          <w:sz w:val="24"/>
          <w:szCs w:val="24"/>
          <w:lang w:eastAsia="el-GR"/>
        </w:rPr>
        <w:t>.73 .</w:t>
      </w:r>
    </w:p>
    <w:p w:rsidR="00BD5FC3" w:rsidRDefault="00BD5FC3" w:rsidP="00BD5FC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μικτά αποτελέσματα (κέρδη ή ζημίες) εκμεταλλεύσεως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περιλαμβάνονται τα μικτά αποτελέσματα της εκμεταλλεύσεως, τα οποία προσδιορίζονται μετά από το διαχωρισμό, από τα καθαρά αποτελέσματα εκμεταλλεύσεως, των μη προσδιοριστικών τους εξόδων (λογ. </w:t>
      </w:r>
      <w:r w:rsidRPr="00427796">
        <w:rPr>
          <w:rFonts w:ascii="Modern No. 20" w:eastAsia="Times New Roman" w:hAnsi="Modern No. 20"/>
          <w:sz w:val="24"/>
          <w:szCs w:val="24"/>
          <w:lang w:eastAsia="el-GR"/>
        </w:rPr>
        <w:t xml:space="preserve">80.02 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) και εσόδων (λογ. </w:t>
      </w:r>
      <w:r w:rsidRPr="00427796">
        <w:rPr>
          <w:rFonts w:ascii="Modern No. 20" w:eastAsia="Times New Roman" w:hAnsi="Modern No. 20"/>
          <w:sz w:val="24"/>
          <w:szCs w:val="24"/>
          <w:lang w:eastAsia="el-GR"/>
        </w:rPr>
        <w:t>80.03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).</w:t>
      </w:r>
    </w:p>
    <w:p w:rsidR="00BD5FC3" w:rsidRPr="00683609" w:rsidRDefault="00BD5FC3" w:rsidP="00BD5FC3">
      <w:pPr>
        <w:pStyle w:val="ListParagrap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Τα μικτά αυτά αποτελέσματα απεικονίζονται στον </w:t>
      </w:r>
      <w:proofErr w:type="spellStart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υπολογαριασμό</w:t>
      </w:r>
      <w:proofErr w:type="spellEnd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427796">
        <w:rPr>
          <w:rFonts w:ascii="Modern No. 20" w:eastAsia="Times New Roman" w:hAnsi="Modern No. 20"/>
          <w:sz w:val="24"/>
          <w:szCs w:val="24"/>
          <w:lang w:eastAsia="el-GR"/>
        </w:rPr>
        <w:t>86.00.00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, στον οποίο μεταφέρονται από τον </w:t>
      </w:r>
      <w:proofErr w:type="spellStart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υπολογαριασμό</w:t>
      </w:r>
      <w:proofErr w:type="spellEnd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427796">
        <w:rPr>
          <w:rFonts w:ascii="Modern No. 20" w:eastAsia="Times New Roman" w:hAnsi="Modern No. 20"/>
          <w:sz w:val="24"/>
          <w:szCs w:val="24"/>
          <w:lang w:eastAsia="el-GR"/>
        </w:rPr>
        <w:t>80.01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του λογαριασμού </w:t>
      </w:r>
      <w:r w:rsidRPr="00427796">
        <w:rPr>
          <w:rFonts w:ascii="Modern No. 20" w:eastAsia="Times New Roman" w:hAnsi="Modern No. 20"/>
          <w:sz w:val="24"/>
          <w:szCs w:val="24"/>
          <w:lang w:eastAsia="el-GR"/>
        </w:rPr>
        <w:t>80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.</w:t>
      </w:r>
    </w:p>
    <w:p w:rsidR="00BD5FC3" w:rsidRPr="00683609" w:rsidRDefault="00BD5FC3" w:rsidP="00BD5FC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lastRenderedPageBreak/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κόστος πωλήσεων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» περιλαμβάνεται ή διαφορά μεταξύ των κονδυλίων «</w:t>
      </w:r>
      <w:r w:rsidRPr="00873D79">
        <w:rPr>
          <w:rFonts w:ascii="Times New Roman" w:eastAsia="Times New Roman" w:hAnsi="Times New Roman"/>
          <w:i/>
          <w:sz w:val="24"/>
          <w:szCs w:val="24"/>
          <w:lang w:eastAsia="el-GR"/>
        </w:rPr>
        <w:t>κύκλος εργασιών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» και «</w:t>
      </w:r>
      <w:r w:rsidRPr="00873D79">
        <w:rPr>
          <w:rFonts w:ascii="Times New Roman" w:eastAsia="Times New Roman" w:hAnsi="Times New Roman"/>
          <w:i/>
          <w:sz w:val="24"/>
          <w:szCs w:val="24"/>
          <w:lang w:eastAsia="el-GR"/>
        </w:rPr>
        <w:t>μικτά αποτελέσματα εκμεταλλεύσεως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».</w:t>
      </w:r>
    </w:p>
    <w:p w:rsidR="00BD5FC3" w:rsidRPr="00683609" w:rsidRDefault="00BD5FC3" w:rsidP="00BD5FC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άλλα έσοδα εκμεταλλεύσεως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περιλαμβάνονται τα έσοδα εκμεταλλεύσεως του </w:t>
      </w:r>
      <w:proofErr w:type="spellStart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υπολογαριασμού</w:t>
      </w:r>
      <w:proofErr w:type="spellEnd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873D79">
        <w:rPr>
          <w:rFonts w:ascii="Modern No. 20" w:eastAsia="Times New Roman" w:hAnsi="Modern No. 20"/>
          <w:sz w:val="24"/>
          <w:szCs w:val="24"/>
          <w:lang w:eastAsia="el-GR"/>
        </w:rPr>
        <w:t>86.00.01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. Τα έσοδα αυτά συγκεντρώνονται στους λογαριασμούς </w:t>
      </w:r>
      <w:r w:rsidRPr="00873D79">
        <w:rPr>
          <w:rFonts w:ascii="Modern No. 20" w:eastAsia="Times New Roman" w:hAnsi="Modern No. 20"/>
          <w:sz w:val="24"/>
          <w:szCs w:val="24"/>
          <w:lang w:eastAsia="el-GR"/>
        </w:rPr>
        <w:t xml:space="preserve">74, 75 </w:t>
      </w:r>
      <w:r w:rsidRPr="00873D79">
        <w:rPr>
          <w:rFonts w:ascii="Times New Roman" w:eastAsia="Times New Roman" w:hAnsi="Times New Roman"/>
          <w:sz w:val="24"/>
          <w:szCs w:val="24"/>
          <w:lang w:eastAsia="el-GR"/>
        </w:rPr>
        <w:t>και</w:t>
      </w:r>
      <w:r w:rsidRPr="00873D79">
        <w:rPr>
          <w:rFonts w:ascii="Modern No. 20" w:eastAsia="Times New Roman" w:hAnsi="Modern No. 20"/>
          <w:sz w:val="24"/>
          <w:szCs w:val="24"/>
          <w:lang w:eastAsia="el-GR"/>
        </w:rPr>
        <w:t xml:space="preserve"> 78.05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.</w:t>
      </w:r>
    </w:p>
    <w:p w:rsidR="00BD5FC3" w:rsidRPr="00683609" w:rsidRDefault="00BD5FC3" w:rsidP="00BD5FC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Στις κατηγορίες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έξοδα διοικητικής λειτουργίας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»,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έξοδα λειτουργίας ερευνών- αναπτύξεως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» και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έξοδα λειτουργίας διαθέσεως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περιλαμβάνονται τα χρεωστικά υπόλοιπα των </w:t>
      </w:r>
      <w:proofErr w:type="spellStart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ύπολογαριασμών</w:t>
      </w:r>
      <w:proofErr w:type="spellEnd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873D79">
        <w:rPr>
          <w:rFonts w:ascii="Modern No. 20" w:eastAsia="Times New Roman" w:hAnsi="Modern No. 20"/>
          <w:sz w:val="24"/>
          <w:szCs w:val="24"/>
          <w:lang w:eastAsia="el-GR"/>
        </w:rPr>
        <w:t xml:space="preserve">86.00.02, 86.00.03 </w:t>
      </w:r>
      <w:r w:rsidRPr="00873D79">
        <w:rPr>
          <w:rFonts w:ascii="Times New Roman" w:eastAsia="Times New Roman" w:hAnsi="Times New Roman"/>
          <w:sz w:val="24"/>
          <w:szCs w:val="24"/>
          <w:lang w:eastAsia="el-GR"/>
        </w:rPr>
        <w:t>και</w:t>
      </w:r>
      <w:r w:rsidRPr="00873D79">
        <w:rPr>
          <w:rFonts w:ascii="Modern No. 20" w:eastAsia="Times New Roman" w:hAnsi="Modern No. 20"/>
          <w:sz w:val="24"/>
          <w:szCs w:val="24"/>
          <w:lang w:eastAsia="el-GR"/>
        </w:rPr>
        <w:t xml:space="preserve"> 86.00.04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αντίστοιχα. Τα έξοδα των κατηγοριών αυτών συγκεντρώνονται στους λογαριασμούς </w:t>
      </w:r>
      <w:r w:rsidRPr="00873D79">
        <w:rPr>
          <w:rFonts w:ascii="Modern No. 20" w:eastAsia="Times New Roman" w:hAnsi="Modern No. 20"/>
          <w:sz w:val="24"/>
          <w:szCs w:val="24"/>
          <w:lang w:eastAsia="el-GR"/>
        </w:rPr>
        <w:t xml:space="preserve">92.01, 92.02 </w:t>
      </w:r>
      <w:r w:rsidRPr="00873D79">
        <w:rPr>
          <w:rFonts w:ascii="Times New Roman" w:eastAsia="Times New Roman" w:hAnsi="Times New Roman"/>
          <w:sz w:val="24"/>
          <w:szCs w:val="24"/>
          <w:lang w:eastAsia="el-GR"/>
        </w:rPr>
        <w:t>και</w:t>
      </w:r>
      <w:r w:rsidRPr="00873D79">
        <w:rPr>
          <w:rFonts w:ascii="Modern No. 20" w:eastAsia="Times New Roman" w:hAnsi="Modern No. 20"/>
          <w:sz w:val="24"/>
          <w:szCs w:val="24"/>
          <w:lang w:eastAsia="el-GR"/>
        </w:rPr>
        <w:t xml:space="preserve"> 92.03 </w:t>
      </w:r>
      <w:r w:rsidRPr="00873D79">
        <w:rPr>
          <w:rFonts w:ascii="Times New Roman" w:eastAsia="Times New Roman" w:hAnsi="Times New Roman"/>
          <w:sz w:val="24"/>
          <w:szCs w:val="24"/>
          <w:lang w:eastAsia="el-GR"/>
        </w:rPr>
        <w:t>της</w:t>
      </w:r>
      <w:r w:rsidRPr="00873D79">
        <w:rPr>
          <w:rFonts w:ascii="Modern No. 20" w:eastAsia="Times New Roman" w:hAnsi="Modern No. 20"/>
          <w:sz w:val="24"/>
          <w:szCs w:val="24"/>
          <w:lang w:eastAsia="el-GR"/>
        </w:rPr>
        <w:t xml:space="preserve"> </w:t>
      </w:r>
      <w:r w:rsidRPr="00873D79">
        <w:rPr>
          <w:rFonts w:ascii="Times New Roman" w:eastAsia="Times New Roman" w:hAnsi="Times New Roman"/>
          <w:sz w:val="24"/>
          <w:szCs w:val="24"/>
          <w:lang w:eastAsia="el-GR"/>
        </w:rPr>
        <w:t>ομάδας</w:t>
      </w:r>
      <w:r w:rsidRPr="00873D79">
        <w:rPr>
          <w:rFonts w:ascii="Modern No. 20" w:eastAsia="Times New Roman" w:hAnsi="Modern No. 20"/>
          <w:sz w:val="24"/>
          <w:szCs w:val="24"/>
          <w:lang w:eastAsia="el-GR"/>
        </w:rPr>
        <w:t xml:space="preserve"> 9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της αναλυτικής λογιστικής. Τα έξοδα αυτά, όταν δε λειτουργεί λογιστικό σύστημα αναλυτικής λογιστικής, προσδιορίζονται </w:t>
      </w:r>
      <w:proofErr w:type="spellStart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εξωλογιστικά</w:t>
      </w:r>
      <w:proofErr w:type="spellEnd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με βάση τα στοιχεία που προκύπτουν από τους λογαριασμούς της γενικής λογιστικής, σύμφωνα με όσα καθορίζονται στ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ο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Ε.Γ.Λ.Σ.</w:t>
      </w:r>
    </w:p>
    <w:p w:rsidR="00BD5FC3" w:rsidRPr="00683609" w:rsidRDefault="00BD5FC3" w:rsidP="00BD5FC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έσοδα συμμετοχών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περιλαμβάνεται το πιστωτικό υπόλοιπο του </w:t>
      </w:r>
      <w:proofErr w:type="spellStart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υπολογαριασμού</w:t>
      </w:r>
      <w:proofErr w:type="spellEnd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873D79">
        <w:rPr>
          <w:rFonts w:ascii="Modern No. 20" w:eastAsia="Times New Roman" w:hAnsi="Modern No. 20"/>
          <w:sz w:val="24"/>
          <w:szCs w:val="24"/>
          <w:lang w:eastAsia="el-GR"/>
        </w:rPr>
        <w:t>86.01.00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. Τα έσοδα της κατηγορίας αυτής συγκεντρώνονται στο λογαριασμό </w:t>
      </w:r>
      <w:r w:rsidRPr="00873D79">
        <w:rPr>
          <w:rFonts w:ascii="Modern No. 20" w:eastAsia="Times New Roman" w:hAnsi="Modern No. 20"/>
          <w:sz w:val="24"/>
          <w:szCs w:val="24"/>
          <w:lang w:eastAsia="el-GR"/>
        </w:rPr>
        <w:t>76.00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.</w:t>
      </w:r>
    </w:p>
    <w:p w:rsidR="00BD5FC3" w:rsidRPr="00683609" w:rsidRDefault="00BD5FC3" w:rsidP="00BD5FC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έσοδα χρεογράφων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περιλαμβάνεται το πιστωτικό υπόλοιπο του </w:t>
      </w:r>
      <w:proofErr w:type="spellStart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υπολογαριασμού</w:t>
      </w:r>
      <w:proofErr w:type="spellEnd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873D79">
        <w:rPr>
          <w:rFonts w:ascii="Modern No. 20" w:eastAsia="Times New Roman" w:hAnsi="Modern No. 20"/>
          <w:sz w:val="24"/>
          <w:szCs w:val="24"/>
          <w:lang w:eastAsia="el-GR"/>
        </w:rPr>
        <w:t>86.01.01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. Τα έσοδα της κατηγορίας αυτής συγκεντρώνονται στο λογαριασμό </w:t>
      </w:r>
      <w:r w:rsidRPr="00873D79">
        <w:rPr>
          <w:rFonts w:ascii="Modern No. 20" w:eastAsia="Times New Roman" w:hAnsi="Modern No. 20"/>
          <w:sz w:val="24"/>
          <w:szCs w:val="24"/>
          <w:lang w:eastAsia="el-GR"/>
        </w:rPr>
        <w:t>76.01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.</w:t>
      </w:r>
    </w:p>
    <w:p w:rsidR="00BD5FC3" w:rsidRPr="00683609" w:rsidRDefault="00BD5FC3" w:rsidP="00BD5FC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κέρδη πωλήσεως συμμετοχών και χρεογράφων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περιλαμβάνεται το πιστωτικό υπόλοιπο του </w:t>
      </w:r>
      <w:proofErr w:type="spellStart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υπολογαριασμού</w:t>
      </w:r>
      <w:proofErr w:type="spellEnd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873D79">
        <w:rPr>
          <w:rFonts w:ascii="Modern No. 20" w:eastAsia="Times New Roman" w:hAnsi="Modern No. 20"/>
          <w:sz w:val="24"/>
          <w:szCs w:val="24"/>
          <w:lang w:eastAsia="el-GR"/>
        </w:rPr>
        <w:t>86.01.02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. Τα έσοδα της κατηγορίας αυτής συγκεντρώνονται στο λογαριασμό </w:t>
      </w:r>
      <w:r w:rsidRPr="00873D79">
        <w:rPr>
          <w:rFonts w:ascii="Modern No. 20" w:eastAsia="Times New Roman" w:hAnsi="Modern No. 20"/>
          <w:sz w:val="24"/>
          <w:szCs w:val="24"/>
          <w:lang w:eastAsia="el-GR"/>
        </w:rPr>
        <w:t>76.04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.</w:t>
      </w:r>
    </w:p>
    <w:p w:rsidR="00BD5FC3" w:rsidRPr="00683609" w:rsidRDefault="00BD5FC3" w:rsidP="00BD5FC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πιστωτικοί τόκοι και συναφή έσοδα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περιλαμβάνεται το πιστωτικό υπόλοιπο του </w:t>
      </w:r>
      <w:proofErr w:type="spellStart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υπολογαριασμού</w:t>
      </w:r>
      <w:proofErr w:type="spellEnd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86.01.03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. Τα έσοδα της κατηγορίας αυτής συγκεντρώνονται στους λογαριασμούς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76.02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έως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76.98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, πλην του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76.04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.</w:t>
      </w:r>
    </w:p>
    <w:p w:rsidR="00BD5FC3" w:rsidRPr="00683609" w:rsidRDefault="00BD5FC3" w:rsidP="00BD5FC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διαφορές αποτιμήσεως συμμετοχών και χρεογράφων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περιλαμβάνεται το χρεωστικό υπόλοιπο του </w:t>
      </w:r>
      <w:proofErr w:type="spellStart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υπολογαριασμού</w:t>
      </w:r>
      <w:proofErr w:type="spellEnd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86.01.07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. Τα κονδύλια της κατηγορίας αυτής συγκεντρώνονται στο λογαριασμό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64.11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BD5FC3" w:rsidRPr="00683609" w:rsidRDefault="00BD5FC3" w:rsidP="00BD5FC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έξοδα και ζημίες συμμετοχών και χρεογράφων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περιλαμβάνεται το χρεωστικό υπόλοιπο του </w:t>
      </w:r>
      <w:proofErr w:type="spellStart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υπολογαριασμού</w:t>
      </w:r>
      <w:proofErr w:type="spellEnd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86.01.08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. Τα κονδύλια της κατηγορίας αυτής συγκεντρώνονται στους λογαριασμούς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 xml:space="preserve">64.10 </w:t>
      </w:r>
      <w:r w:rsidRPr="00CF46AD">
        <w:rPr>
          <w:rFonts w:ascii="Times New Roman" w:eastAsia="Times New Roman" w:hAnsi="Times New Roman"/>
          <w:sz w:val="24"/>
          <w:szCs w:val="24"/>
          <w:lang w:eastAsia="el-GR"/>
        </w:rPr>
        <w:t>και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 xml:space="preserve"> 64.12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.</w:t>
      </w:r>
    </w:p>
    <w:p w:rsidR="00BD5FC3" w:rsidRDefault="00BD5FC3" w:rsidP="00BD5FC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χρεωστικοί τόκοι και συναφή έξοδα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περιλαμβάνεται το χρεωστικό υπόλοιπο του </w:t>
      </w:r>
      <w:proofErr w:type="spellStart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υπολογαριασμού</w:t>
      </w:r>
      <w:proofErr w:type="spellEnd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86.01.09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. Τα κονδύλια της κατηγορίας αυτής συγκεντρώνονται στους </w:t>
      </w:r>
      <w:proofErr w:type="spellStart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υπολογαριασμούς</w:t>
      </w:r>
      <w:proofErr w:type="spellEnd"/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του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65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BD5FC3" w:rsidRPr="00683609" w:rsidRDefault="00BD5FC3" w:rsidP="00BD5FC3">
      <w:pPr>
        <w:pStyle w:val="ListParagraph"/>
        <w:rPr>
          <w:rFonts w:ascii="Times New Roman" w:eastAsia="Times New Roman" w:hAnsi="Times New Roman"/>
          <w:sz w:val="24"/>
          <w:szCs w:val="24"/>
          <w:lang w:eastAsia="el-GR"/>
        </w:rPr>
      </w:pP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lastRenderedPageBreak/>
        <w:t xml:space="preserve">Τα ολικά αποτελέσματα (κέρδη ή ζημίες) εκμεταλλεύσεως, τα οποία προκύπτουν από το άθροισμα των αποτελεσμάτων εκμεταλλεύσεως από εργασίες και των χρηματοοικονομικών αποτελεσμάτων, απεικονίζονται στους λογαριασμούς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 xml:space="preserve">86.00 </w:t>
      </w:r>
      <w:r w:rsidRPr="00CF46AD">
        <w:rPr>
          <w:rFonts w:ascii="Times New Roman" w:eastAsia="Times New Roman" w:hAnsi="Times New Roman"/>
          <w:sz w:val="24"/>
          <w:szCs w:val="24"/>
          <w:lang w:eastAsia="el-GR"/>
        </w:rPr>
        <w:t>και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 xml:space="preserve"> 86.01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αντίστοιχα. Τα αποτελέσματα αυτά της εκμεταλλεύσεως απεικονίζονται και στο λογαριασμό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80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«</w:t>
      </w:r>
      <w:r w:rsidRPr="00CF46AD">
        <w:rPr>
          <w:rFonts w:ascii="Times New Roman" w:eastAsia="Times New Roman" w:hAnsi="Times New Roman"/>
          <w:i/>
          <w:sz w:val="24"/>
          <w:szCs w:val="24"/>
          <w:lang w:eastAsia="el-GR"/>
        </w:rPr>
        <w:t>γενική εκμετάλλευση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» πριν από τη μεταφορά τους στο λογαριασμό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86</w:t>
      </w:r>
      <w:r w:rsidRPr="00683609">
        <w:rPr>
          <w:rFonts w:ascii="Times New Roman" w:eastAsia="Times New Roman" w:hAnsi="Times New Roman"/>
          <w:sz w:val="24"/>
          <w:szCs w:val="24"/>
          <w:lang w:eastAsia="el-GR"/>
        </w:rPr>
        <w:t xml:space="preserve"> .</w:t>
      </w:r>
    </w:p>
    <w:p w:rsidR="00BD5FC3" w:rsidRPr="00EB28A6" w:rsidRDefault="00BD5FC3" w:rsidP="00BD5FC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έκτακτα και ανόργανα έσοδα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περιλαμβάνεται το πιστωτικό υπόλοιπο του </w:t>
      </w:r>
      <w:proofErr w:type="spellStart"/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>υπολογαριασμού</w:t>
      </w:r>
      <w:proofErr w:type="spellEnd"/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86.02.00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. Τα κονδύλια της κατηγορίας αυτής συγκεντρώνονται στο λογαριασμό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81.01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.</w:t>
      </w:r>
    </w:p>
    <w:p w:rsidR="00BD5FC3" w:rsidRPr="00EB28A6" w:rsidRDefault="00BD5FC3" w:rsidP="00BD5FC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έκτακτα κέρδη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περιλαμβάνεται το πιστωτικό υπόλοιπο του </w:t>
      </w:r>
      <w:proofErr w:type="spellStart"/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>υπολογαριασμού</w:t>
      </w:r>
      <w:proofErr w:type="spellEnd"/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,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86.02.01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Τα κονδύλια της κατηγορίας αυτής συγκεντρώνονται στο λογαριασμό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81.03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.</w:t>
      </w:r>
    </w:p>
    <w:p w:rsidR="00BD5FC3" w:rsidRPr="00EB28A6" w:rsidRDefault="00BD5FC3" w:rsidP="00BD5FC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έσοδα προηγούμενων χρήσεων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περιλαμβάνεται το πιστωτικό υπόλοιπο του </w:t>
      </w:r>
      <w:proofErr w:type="spellStart"/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>υπολογαριασμού</w:t>
      </w:r>
      <w:proofErr w:type="spellEnd"/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86.02.02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. Τα κονδύλια της κατηγορίας αυτής συγκεντρώνονται στο λογαριασμό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82.01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.</w:t>
      </w:r>
    </w:p>
    <w:p w:rsidR="00BD5FC3" w:rsidRPr="00EB28A6" w:rsidRDefault="00BD5FC3" w:rsidP="00BD5FC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έσοδα από προβλέψεις προηγούμενων χρήσεων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περιλαμβάνεται το πιστωτικό υπόλοιπο του </w:t>
      </w:r>
      <w:proofErr w:type="spellStart"/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>υπολογαριασμού</w:t>
      </w:r>
      <w:proofErr w:type="spellEnd"/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86.02.03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. Τα κονδύλια της κατηγορίας αυτής συγκεντρώνονται στο λογαριασμό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84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.</w:t>
      </w:r>
    </w:p>
    <w:p w:rsidR="00BD5FC3" w:rsidRPr="00EB28A6" w:rsidRDefault="00BD5FC3" w:rsidP="00BD5FC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έκτακτα και ανόργανα έξοδα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περιλαμβάνεται το χρεωστικό υπόλοιπο του </w:t>
      </w:r>
      <w:proofErr w:type="spellStart"/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>υπολογαριασμού</w:t>
      </w:r>
      <w:proofErr w:type="spellEnd"/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86.02,07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. Τα κονδύλια της κατηγορίας αυτής συγκεντρώνονται στο λογαριασμό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81.00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.</w:t>
      </w:r>
    </w:p>
    <w:p w:rsidR="00BD5FC3" w:rsidRPr="00EB28A6" w:rsidRDefault="00BD5FC3" w:rsidP="00BD5FC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έκτακτες ζημίες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περιλαμβάνεται το χρεωστικό υπόλοιπο του </w:t>
      </w:r>
      <w:proofErr w:type="spellStart"/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>υπολογαριασμού</w:t>
      </w:r>
      <w:proofErr w:type="spellEnd"/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86.02.08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. Τα κονδύλια της κατηγορίας αυτής συγκεντρώνονται στο λογαριασμό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81.02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.</w:t>
      </w:r>
    </w:p>
    <w:p w:rsidR="00BD5FC3" w:rsidRPr="00EB28A6" w:rsidRDefault="00BD5FC3" w:rsidP="00BD5FC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έξοδα προηγούμενων χρήσεων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περιλαμβάνεται το χρεωστικό υπόλοιπο του </w:t>
      </w:r>
      <w:proofErr w:type="spellStart"/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>υπολογαριασμού</w:t>
      </w:r>
      <w:proofErr w:type="spellEnd"/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86.02.09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. Τα κονδύλια της κατηγορίας αυτής συγκεντρώνονται στο λογαριασμό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82.00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.</w:t>
      </w:r>
    </w:p>
    <w:p w:rsidR="00BD5FC3" w:rsidRDefault="00BD5FC3" w:rsidP="00BD5FC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προβλέψεις για έκτακτους κινδύνους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περιλαμβάνεται το χρεωστικό υπόλοιπο του </w:t>
      </w:r>
      <w:proofErr w:type="spellStart"/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>υπολογαριασμού</w:t>
      </w:r>
      <w:proofErr w:type="spellEnd"/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86.02.10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. Τα κονδύλια της κατηγορίας αυτής συγκεντρώνονται στο λογαριασμό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83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.</w:t>
      </w:r>
    </w:p>
    <w:p w:rsidR="00BD5FC3" w:rsidRPr="00EB28A6" w:rsidRDefault="00BD5FC3" w:rsidP="00BD5FC3">
      <w:pPr>
        <w:pStyle w:val="ListParagraph"/>
        <w:rPr>
          <w:rFonts w:ascii="Times New Roman" w:eastAsia="Times New Roman" w:hAnsi="Times New Roman"/>
          <w:sz w:val="24"/>
          <w:szCs w:val="24"/>
          <w:lang w:eastAsia="el-GR"/>
        </w:rPr>
      </w:pP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Από το αλγεβρικό άθροισμα των ολικών αποτελεσμάτων εκμεταλλεύσεως και των έκτακτων αποτελεσμάτων των λογαριασμών της ομάδας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προκύπτουν τα συνολικά αποτελέσματα της οικονομικής μονάδας, πριν από την αφαίρεση των μη ενσωματωμένων στο λειτουργικό κόστος αποσβέσεων.</w:t>
      </w:r>
    </w:p>
    <w:p w:rsidR="00BD5FC3" w:rsidRDefault="00BD5FC3" w:rsidP="00BD5FC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lastRenderedPageBreak/>
        <w:t>Στην κατηγορία «</w:t>
      </w:r>
      <w:r w:rsidRPr="00EB28A6">
        <w:rPr>
          <w:rFonts w:ascii="Times New Roman" w:eastAsia="Times New Roman" w:hAnsi="Times New Roman"/>
          <w:b/>
          <w:i/>
          <w:sz w:val="24"/>
          <w:szCs w:val="24"/>
          <w:lang w:eastAsia="el-GR"/>
        </w:rPr>
        <w:t>σύνολο αποσβέσεων παγίων στοιχείων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» περιλαμβάνονται, τόσο οι αποσβέσεις που ενσωματώνονται στο λειτουργικό κόστος (τακτικές) όσο και εκείνες που δεν ενσωματώνονται (π.χ. πρόσθετες αποσβέσεις κινήτρων επενδύσεων). </w:t>
      </w:r>
    </w:p>
    <w:p w:rsidR="00BD5FC3" w:rsidRDefault="00BD5FC3" w:rsidP="00BD5FC3">
      <w:pPr>
        <w:pStyle w:val="ListParagraph"/>
        <w:rPr>
          <w:rFonts w:ascii="Times New Roman" w:eastAsia="Times New Roman" w:hAnsi="Times New Roman"/>
          <w:sz w:val="24"/>
          <w:szCs w:val="24"/>
          <w:lang w:eastAsia="el-GR"/>
        </w:rPr>
      </w:pP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Οι αποσβέσεις που ενσωματώνονται στο λειτουργικό κόστος συγκεντρώνονται στο λογαριασμό 66 και μεταφέρονται στο λογαριασμό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80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«</w:t>
      </w:r>
      <w:r w:rsidRPr="00CF46AD">
        <w:rPr>
          <w:rFonts w:ascii="Times New Roman" w:eastAsia="Times New Roman" w:hAnsi="Times New Roman"/>
          <w:i/>
          <w:sz w:val="24"/>
          <w:szCs w:val="24"/>
          <w:lang w:eastAsia="el-GR"/>
        </w:rPr>
        <w:t>γενική εκμετάλλευση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». Οι αποσβέσεις που δεν ενσωματώνονται στο λειτουργικό κόστος συγκεντρώνονται στο λογαριασμό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85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μεταφέρονται στον λογαριασμό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86.03</w:t>
      </w:r>
      <w:r w:rsidRPr="00EB28A6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BD5FC3" w:rsidRDefault="00BD5FC3" w:rsidP="00BD5FC3">
      <w:pPr>
        <w:pStyle w:val="ListParagraph"/>
        <w:rPr>
          <w:rFonts w:ascii="Times New Roman" w:eastAsia="Times New Roman" w:hAnsi="Times New Roman"/>
          <w:sz w:val="24"/>
          <w:szCs w:val="24"/>
          <w:lang w:eastAsia="el-GR"/>
        </w:rPr>
      </w:pPr>
      <w:r w:rsidRPr="00525EEC">
        <w:rPr>
          <w:rFonts w:ascii="Times New Roman" w:eastAsia="Times New Roman" w:hAnsi="Times New Roman"/>
          <w:sz w:val="24"/>
          <w:szCs w:val="24"/>
          <w:lang w:eastAsia="el-GR"/>
        </w:rPr>
        <w:t xml:space="preserve">Η διαφορά των συνολικών αποτελεσμάτων και των μη ενσωματωμένων στο λειτουργικό κόστος αποσβέσεων απεικονίζει τα καθαρά αποτελέσματα χρήσεως της οικονομικής μονάδας, πριν από την αφαίρεση του τυχόν φόρου εισοδήματος - εισφοράς ΟΓΑ και των τυχόν μη ενσωματωμένων στο λειτουργικό κόστος λοιπών φόρων (π.χ. φόρου ακίνητης περιουσίας). Τα καθαρά αυτά αποτελέσματα απεικονίζονται στον λογαριασμό </w:t>
      </w:r>
      <w:r w:rsidRPr="00CF46AD">
        <w:rPr>
          <w:rFonts w:ascii="Modern No. 20" w:eastAsia="Times New Roman" w:hAnsi="Modern No. 20"/>
          <w:sz w:val="24"/>
          <w:szCs w:val="24"/>
          <w:lang w:eastAsia="el-GR"/>
        </w:rPr>
        <w:t>86.99</w:t>
      </w:r>
      <w:r w:rsidRPr="00525EEC">
        <w:rPr>
          <w:rFonts w:ascii="Times New Roman" w:eastAsia="Times New Roman" w:hAnsi="Times New Roman"/>
          <w:sz w:val="24"/>
          <w:szCs w:val="24"/>
          <w:lang w:eastAsia="el-GR"/>
        </w:rPr>
        <w:t xml:space="preserve"> . </w:t>
      </w:r>
    </w:p>
    <w:p w:rsidR="001E2727" w:rsidRDefault="001E2727" w:rsidP="00BD5FC3">
      <w:pPr>
        <w:pStyle w:val="ListParagraph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14596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accessible"/>
      </w:tblPr>
      <w:tblGrid>
        <w:gridCol w:w="6480"/>
        <w:gridCol w:w="902"/>
        <w:gridCol w:w="6470"/>
        <w:gridCol w:w="744"/>
      </w:tblGrid>
      <w:tr w:rsidR="001E2727" w:rsidTr="00ED660B">
        <w:trPr>
          <w:trHeight w:hRule="exact" w:val="293"/>
        </w:trPr>
        <w:tc>
          <w:tcPr>
            <w:tcW w:w="14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ΙΣΟΛΟΓΙΣΜΟΣ</w:t>
            </w:r>
          </w:p>
        </w:tc>
      </w:tr>
      <w:tr w:rsidR="001E2727" w:rsidTr="00ED660B">
        <w:trPr>
          <w:trHeight w:hRule="exact" w:val="28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Α. Οφειλόμενο Κεφάλαιο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right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ΧΧΧ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Α. Ίδια Κεφάλαια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</w:p>
        </w:tc>
      </w:tr>
      <w:tr w:rsidR="001E2727" w:rsidTr="00ED660B">
        <w:trPr>
          <w:trHeight w:hRule="exact" w:val="28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Β. Έξοδα Εγκαταστάσεως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right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ΧΧΧ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24"/>
                <w:szCs w:val="24"/>
              </w:rPr>
              <w:t>Ι. Κεφάλαιο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ΧΧΧ</w:t>
            </w:r>
          </w:p>
        </w:tc>
      </w:tr>
      <w:tr w:rsidR="001E2727" w:rsidTr="00ED660B">
        <w:trPr>
          <w:trHeight w:hRule="exact" w:val="28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Γ. Πάγιο Ενεργητικό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ΙΙ. Διαφορά από έκδοση μετοχών υπέρ το άρτιο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ΧΧΧ</w:t>
            </w:r>
          </w:p>
        </w:tc>
      </w:tr>
      <w:tr w:rsidR="001E2727" w:rsidTr="00ED660B">
        <w:trPr>
          <w:trHeight w:hRule="exact" w:val="28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z w:val="24"/>
                <w:szCs w:val="24"/>
              </w:rPr>
              <w:t>Ι. Ασώματες Ακινητοποιήσεις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ΧΧΧ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ind w:right="106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ΙΙΙ. Διαφορές αναπροσαρμογής – επιχορηγήσεις επενδύσεων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ΧΧΧ</w:t>
            </w:r>
          </w:p>
        </w:tc>
      </w:tr>
      <w:tr w:rsidR="001E2727" w:rsidTr="00ED660B">
        <w:trPr>
          <w:trHeight w:hRule="exact" w:val="28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z w:val="24"/>
                <w:szCs w:val="24"/>
              </w:rPr>
              <w:t>ΙΙ. Ενσώματες Ακινητοποιήσεις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ΧΧΧ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ind w:left="293"/>
            </w:pPr>
            <w:r>
              <w:rPr>
                <w:color w:val="000000"/>
                <w:sz w:val="24"/>
                <w:szCs w:val="24"/>
              </w:rPr>
              <w:t xml:space="preserve">IV.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Αποθεματικά Κεφάλαια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ΧΧΧ</w:t>
            </w:r>
          </w:p>
        </w:tc>
      </w:tr>
      <w:tr w:rsidR="001E2727" w:rsidTr="00ED660B">
        <w:trPr>
          <w:trHeight w:hRule="exact" w:val="28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ΙΙΙ. Συμμετοχές και άλλες μακροπρόθεσμες απαιτήσεις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ΧΧΧ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ind w:left="293"/>
            </w:pPr>
            <w:r>
              <w:rPr>
                <w:color w:val="000000"/>
                <w:sz w:val="24"/>
                <w:szCs w:val="24"/>
              </w:rPr>
              <w:t xml:space="preserve">V.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Αποτελέσματα εις νέο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ΧΧΧ</w:t>
            </w:r>
          </w:p>
        </w:tc>
      </w:tr>
      <w:tr w:rsidR="001E2727" w:rsidTr="00ED660B">
        <w:trPr>
          <w:trHeight w:hRule="exact" w:val="28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right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ΧΧΧ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ind w:left="293"/>
            </w:pPr>
            <w:r>
              <w:rPr>
                <w:color w:val="000000"/>
                <w:sz w:val="24"/>
                <w:szCs w:val="24"/>
              </w:rPr>
              <w:t xml:space="preserve">VI.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Ποσά προορισμένα για αύξηση κεφαλαίου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ΧΧΧ</w:t>
            </w:r>
          </w:p>
        </w:tc>
      </w:tr>
      <w:tr w:rsidR="001E2727" w:rsidTr="00ED660B">
        <w:trPr>
          <w:trHeight w:hRule="exact" w:val="28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Δ. Κυκλοφορούν Ενεργητικό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ΧΧΧ</w:t>
            </w:r>
          </w:p>
        </w:tc>
      </w:tr>
      <w:tr w:rsidR="001E2727" w:rsidTr="00ED660B">
        <w:trPr>
          <w:trHeight w:hRule="exact" w:val="28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z w:val="24"/>
                <w:szCs w:val="24"/>
              </w:rPr>
              <w:t>Ι. Αποθέματα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ΧΧΧ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Β. Προβλέψεις για κινδύνους και έξοδα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ΧΧΧ</w:t>
            </w:r>
          </w:p>
        </w:tc>
      </w:tr>
      <w:tr w:rsidR="001E2727" w:rsidTr="00ED660B">
        <w:trPr>
          <w:trHeight w:hRule="exact" w:val="28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z w:val="24"/>
                <w:szCs w:val="24"/>
              </w:rPr>
              <w:t>ΙΙ. Απαιτήσεις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ΧΧΧ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Γ. Υποχρεώσεις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</w:p>
        </w:tc>
      </w:tr>
      <w:tr w:rsidR="001E2727" w:rsidTr="00ED660B">
        <w:trPr>
          <w:trHeight w:hRule="exact" w:val="28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z w:val="24"/>
                <w:szCs w:val="24"/>
              </w:rPr>
              <w:t>ΙΙΙ. Χρεόγραφα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ΧΧΧ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24"/>
                <w:szCs w:val="24"/>
              </w:rPr>
              <w:t>Ι. Μακροπρόθεσμες Υποχρεώσεις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ΧΧΧ</w:t>
            </w:r>
          </w:p>
        </w:tc>
      </w:tr>
      <w:tr w:rsidR="001E2727" w:rsidTr="00ED660B">
        <w:trPr>
          <w:trHeight w:hRule="exact" w:val="28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ind w:left="302"/>
            </w:pPr>
            <w:r>
              <w:rPr>
                <w:rFonts w:eastAsia="Times New Roman"/>
                <w:color w:val="000000"/>
                <w:sz w:val="24"/>
                <w:szCs w:val="24"/>
              </w:rPr>
              <w:t>ΙV. Διαθέσιμα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right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ΧΧΧ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ind w:left="293"/>
            </w:pPr>
            <w:r>
              <w:rPr>
                <w:rFonts w:eastAsia="Times New Roman"/>
                <w:color w:val="000000"/>
                <w:sz w:val="24"/>
                <w:szCs w:val="24"/>
              </w:rPr>
              <w:t>ΙΙ. Βραχυπρόθεσμες Υποχρεώσεις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ΧΧΧ</w:t>
            </w:r>
          </w:p>
        </w:tc>
      </w:tr>
      <w:tr w:rsidR="001E2727" w:rsidTr="00ED660B">
        <w:trPr>
          <w:trHeight w:hRule="exact" w:val="28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right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ΧΧΧ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ΧΧΧ</w:t>
            </w:r>
          </w:p>
        </w:tc>
      </w:tr>
      <w:tr w:rsidR="001E2727" w:rsidTr="00ED660B">
        <w:trPr>
          <w:trHeight w:hRule="exact" w:val="27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Ε. Μεταβατικοί Λογαριασμοί Ενεργητικού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right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ΧΧΧ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Δ. Μεταβατικοί Λογαριασμοί Παθητικού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ΧΧΧ</w:t>
            </w:r>
          </w:p>
        </w:tc>
      </w:tr>
      <w:tr w:rsidR="001E2727" w:rsidTr="00ED660B">
        <w:trPr>
          <w:trHeight w:hRule="exact" w:val="29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Σύνολο Ενεργητικού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right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ΧΧΧ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Σύνολο Παθητικού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ΧΧΧ</w:t>
            </w:r>
          </w:p>
        </w:tc>
      </w:tr>
      <w:tr w:rsidR="001E2727" w:rsidTr="00ED660B">
        <w:trPr>
          <w:trHeight w:hRule="exact" w:val="28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ΛΟΓΑΡΙΑΣΜΟΙ ΤΑΞΕΩΣ ΧΡΕΩΣΤΙΚΟΙ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right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ΧΧΧ</w:t>
            </w: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ΛΟΓΑΡΙΑΣΜΟΙ ΤΑΞΕΩΣ ΠΙΣΤΩΤΙΚΟΙ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ΧΧΧ</w:t>
            </w:r>
          </w:p>
        </w:tc>
      </w:tr>
      <w:tr w:rsidR="001E2727" w:rsidTr="00ED660B">
        <w:trPr>
          <w:trHeight w:hRule="exact" w:val="29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</w:p>
        </w:tc>
        <w:tc>
          <w:tcPr>
            <w:tcW w:w="6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727" w:rsidRDefault="001E2727" w:rsidP="003255F9">
            <w:pPr>
              <w:shd w:val="clear" w:color="auto" w:fill="FFFFFF"/>
            </w:pPr>
          </w:p>
        </w:tc>
      </w:tr>
    </w:tbl>
    <w:p w:rsidR="001E2727" w:rsidRPr="00525EEC" w:rsidRDefault="001E2727" w:rsidP="00BD5FC3">
      <w:pPr>
        <w:pStyle w:val="ListParagrap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BD5FC3" w:rsidRDefault="00BD5FC3" w:rsidP="00B722CB">
      <w:pPr>
        <w:rPr>
          <w:rFonts w:eastAsia="Calibri"/>
        </w:rPr>
      </w:pPr>
    </w:p>
    <w:bookmarkEnd w:id="19"/>
    <w:p w:rsidR="00BD5FC3" w:rsidRPr="002D19CB" w:rsidRDefault="00BD5FC3" w:rsidP="00B722CB">
      <w:pPr>
        <w:rPr>
          <w:rFonts w:eastAsia="Calibri"/>
        </w:rPr>
      </w:pPr>
    </w:p>
    <w:sectPr w:rsidR="00BD5FC3" w:rsidRPr="002D19CB" w:rsidSect="00423CA6">
      <w:footerReference w:type="defaul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9C" w:rsidRDefault="0087119C" w:rsidP="007D3DBF">
      <w:pPr>
        <w:spacing w:after="0"/>
      </w:pPr>
      <w:r>
        <w:separator/>
      </w:r>
    </w:p>
  </w:endnote>
  <w:endnote w:type="continuationSeparator" w:id="0">
    <w:p w:rsidR="0087119C" w:rsidRDefault="0087119C" w:rsidP="007D3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lid Fraktur">
    <w:altName w:val="Times New Roman"/>
    <w:charset w:val="00"/>
    <w:family w:val="script"/>
    <w:pitch w:val="variable"/>
    <w:sig w:usb0="00000001" w:usb1="10000008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CD" w:rsidRPr="00B35D29" w:rsidRDefault="004C4CAF" w:rsidP="00C9529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</w:rPr>
    </w:pPr>
    <w:r>
      <w:rPr>
        <w:rFonts w:asciiTheme="majorHAnsi" w:eastAsiaTheme="majorEastAsia" w:hAnsiTheme="majorHAnsi" w:cstheme="majorBidi"/>
        <w:b/>
      </w:rPr>
      <w:t>Κατάσταση Λογαριασμού «Αποτελέσματα Χρήσης»</w:t>
    </w:r>
  </w:p>
  <w:p w:rsidR="002F1CCD" w:rsidRDefault="002F1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9C" w:rsidRDefault="0087119C" w:rsidP="007D3DBF">
      <w:pPr>
        <w:spacing w:after="0"/>
      </w:pPr>
      <w:r>
        <w:separator/>
      </w:r>
    </w:p>
  </w:footnote>
  <w:footnote w:type="continuationSeparator" w:id="0">
    <w:p w:rsidR="0087119C" w:rsidRDefault="0087119C" w:rsidP="007D3D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7215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2C1A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BE8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636B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0AE6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321A9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7A52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FEB2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461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6E7D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E2496"/>
    <w:multiLevelType w:val="hybridMultilevel"/>
    <w:tmpl w:val="3BC67026"/>
    <w:lvl w:ilvl="0" w:tplc="E294D50E">
      <w:start w:val="1"/>
      <w:numFmt w:val="bullet"/>
      <w:lvlText w:val="-"/>
      <w:lvlJc w:val="left"/>
      <w:pPr>
        <w:ind w:left="720" w:hanging="360"/>
      </w:pPr>
      <w:rPr>
        <w:rFonts w:ascii="Euclid Fraktur" w:hAnsi="Euclid Fraktu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20323"/>
    <w:multiLevelType w:val="hybridMultilevel"/>
    <w:tmpl w:val="1FCEA6CE"/>
    <w:lvl w:ilvl="0" w:tplc="E294D50E">
      <w:start w:val="1"/>
      <w:numFmt w:val="bullet"/>
      <w:lvlText w:val="-"/>
      <w:lvlJc w:val="left"/>
      <w:pPr>
        <w:ind w:left="720" w:hanging="360"/>
      </w:pPr>
      <w:rPr>
        <w:rFonts w:ascii="Euclid Fraktur" w:hAnsi="Euclid Fraktu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A281E"/>
    <w:multiLevelType w:val="hybridMultilevel"/>
    <w:tmpl w:val="7032B2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96AB4"/>
    <w:multiLevelType w:val="hybridMultilevel"/>
    <w:tmpl w:val="C87E02E4"/>
    <w:lvl w:ilvl="0" w:tplc="E294D50E">
      <w:start w:val="1"/>
      <w:numFmt w:val="bullet"/>
      <w:lvlText w:val="-"/>
      <w:lvlJc w:val="left"/>
      <w:pPr>
        <w:ind w:left="720" w:hanging="360"/>
      </w:pPr>
      <w:rPr>
        <w:rFonts w:ascii="Euclid Fraktur" w:hAnsi="Euclid Fraktu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179BD"/>
    <w:multiLevelType w:val="hybridMultilevel"/>
    <w:tmpl w:val="3452B726"/>
    <w:lvl w:ilvl="0" w:tplc="B992B0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BF"/>
    <w:rsid w:val="00016678"/>
    <w:rsid w:val="00030502"/>
    <w:rsid w:val="00042F6A"/>
    <w:rsid w:val="00044AE0"/>
    <w:rsid w:val="00097A5F"/>
    <w:rsid w:val="000A6A4F"/>
    <w:rsid w:val="000C73F4"/>
    <w:rsid w:val="000D1763"/>
    <w:rsid w:val="000E046B"/>
    <w:rsid w:val="000E062E"/>
    <w:rsid w:val="000E1BD7"/>
    <w:rsid w:val="00120429"/>
    <w:rsid w:val="00121366"/>
    <w:rsid w:val="00123D92"/>
    <w:rsid w:val="001267E4"/>
    <w:rsid w:val="001407DB"/>
    <w:rsid w:val="001448EB"/>
    <w:rsid w:val="0014554F"/>
    <w:rsid w:val="00150F9E"/>
    <w:rsid w:val="001652D1"/>
    <w:rsid w:val="00170188"/>
    <w:rsid w:val="001738C3"/>
    <w:rsid w:val="00185A1E"/>
    <w:rsid w:val="001B56B5"/>
    <w:rsid w:val="001B73F3"/>
    <w:rsid w:val="001C0E07"/>
    <w:rsid w:val="001D020B"/>
    <w:rsid w:val="001D6975"/>
    <w:rsid w:val="001E2727"/>
    <w:rsid w:val="001E670D"/>
    <w:rsid w:val="001F2C53"/>
    <w:rsid w:val="002110FC"/>
    <w:rsid w:val="00212E5E"/>
    <w:rsid w:val="002264D0"/>
    <w:rsid w:val="00230D28"/>
    <w:rsid w:val="00231DC4"/>
    <w:rsid w:val="00232C9C"/>
    <w:rsid w:val="0023311B"/>
    <w:rsid w:val="00240A69"/>
    <w:rsid w:val="00246358"/>
    <w:rsid w:val="0025008E"/>
    <w:rsid w:val="00263EA2"/>
    <w:rsid w:val="002860EB"/>
    <w:rsid w:val="00290591"/>
    <w:rsid w:val="002A595D"/>
    <w:rsid w:val="002B30BA"/>
    <w:rsid w:val="002C6EFD"/>
    <w:rsid w:val="002D19CB"/>
    <w:rsid w:val="002D2443"/>
    <w:rsid w:val="002D2EA0"/>
    <w:rsid w:val="002D419B"/>
    <w:rsid w:val="002E7ABB"/>
    <w:rsid w:val="002F1CCD"/>
    <w:rsid w:val="003019E6"/>
    <w:rsid w:val="00317E81"/>
    <w:rsid w:val="00346422"/>
    <w:rsid w:val="00351F8D"/>
    <w:rsid w:val="00353C80"/>
    <w:rsid w:val="003720E5"/>
    <w:rsid w:val="003827FD"/>
    <w:rsid w:val="00394035"/>
    <w:rsid w:val="003B137E"/>
    <w:rsid w:val="003C1AD5"/>
    <w:rsid w:val="003C5132"/>
    <w:rsid w:val="003E2E65"/>
    <w:rsid w:val="003F6A79"/>
    <w:rsid w:val="0040423B"/>
    <w:rsid w:val="00423CA6"/>
    <w:rsid w:val="004257A3"/>
    <w:rsid w:val="004553EC"/>
    <w:rsid w:val="00457DBF"/>
    <w:rsid w:val="004955D9"/>
    <w:rsid w:val="00496D07"/>
    <w:rsid w:val="004A6DFE"/>
    <w:rsid w:val="004C4CAF"/>
    <w:rsid w:val="004D2E5B"/>
    <w:rsid w:val="00500E93"/>
    <w:rsid w:val="005337E0"/>
    <w:rsid w:val="00564288"/>
    <w:rsid w:val="00566267"/>
    <w:rsid w:val="00585582"/>
    <w:rsid w:val="005A452D"/>
    <w:rsid w:val="005B4615"/>
    <w:rsid w:val="005B5EE2"/>
    <w:rsid w:val="005C1BAE"/>
    <w:rsid w:val="005D2C57"/>
    <w:rsid w:val="005D5B46"/>
    <w:rsid w:val="005F63FF"/>
    <w:rsid w:val="00601650"/>
    <w:rsid w:val="006044CF"/>
    <w:rsid w:val="00655D0D"/>
    <w:rsid w:val="00671B54"/>
    <w:rsid w:val="00672AA4"/>
    <w:rsid w:val="00676E73"/>
    <w:rsid w:val="006A28EA"/>
    <w:rsid w:val="006A54DF"/>
    <w:rsid w:val="006B7F81"/>
    <w:rsid w:val="006D4070"/>
    <w:rsid w:val="006D7447"/>
    <w:rsid w:val="006E3F9D"/>
    <w:rsid w:val="006E7210"/>
    <w:rsid w:val="0070010D"/>
    <w:rsid w:val="00701C6C"/>
    <w:rsid w:val="00701D3F"/>
    <w:rsid w:val="007148C2"/>
    <w:rsid w:val="00716A1A"/>
    <w:rsid w:val="007209B5"/>
    <w:rsid w:val="00760D8A"/>
    <w:rsid w:val="00765808"/>
    <w:rsid w:val="007821B4"/>
    <w:rsid w:val="00794326"/>
    <w:rsid w:val="0079794E"/>
    <w:rsid w:val="007A343B"/>
    <w:rsid w:val="007B3EF0"/>
    <w:rsid w:val="007C2479"/>
    <w:rsid w:val="007D26E9"/>
    <w:rsid w:val="007D3DBF"/>
    <w:rsid w:val="007D7F12"/>
    <w:rsid w:val="007E2ED3"/>
    <w:rsid w:val="007E75A0"/>
    <w:rsid w:val="008028E6"/>
    <w:rsid w:val="00803814"/>
    <w:rsid w:val="008108F2"/>
    <w:rsid w:val="00826458"/>
    <w:rsid w:val="00833250"/>
    <w:rsid w:val="008367AD"/>
    <w:rsid w:val="00842669"/>
    <w:rsid w:val="00865CC4"/>
    <w:rsid w:val="008671A5"/>
    <w:rsid w:val="0087119C"/>
    <w:rsid w:val="00872BB2"/>
    <w:rsid w:val="008809A9"/>
    <w:rsid w:val="00884117"/>
    <w:rsid w:val="008863E4"/>
    <w:rsid w:val="008A5FF4"/>
    <w:rsid w:val="008E6C6C"/>
    <w:rsid w:val="008F3BBF"/>
    <w:rsid w:val="009023FE"/>
    <w:rsid w:val="0090687C"/>
    <w:rsid w:val="00910218"/>
    <w:rsid w:val="00915B3E"/>
    <w:rsid w:val="00933620"/>
    <w:rsid w:val="009376C1"/>
    <w:rsid w:val="00942E6A"/>
    <w:rsid w:val="00954064"/>
    <w:rsid w:val="009551CD"/>
    <w:rsid w:val="0096138B"/>
    <w:rsid w:val="009766D8"/>
    <w:rsid w:val="009A19EE"/>
    <w:rsid w:val="009A43F3"/>
    <w:rsid w:val="009A5FD4"/>
    <w:rsid w:val="009C2021"/>
    <w:rsid w:val="009C7B63"/>
    <w:rsid w:val="009D215E"/>
    <w:rsid w:val="009D4DD6"/>
    <w:rsid w:val="009D6ACB"/>
    <w:rsid w:val="009E0CC2"/>
    <w:rsid w:val="009E119A"/>
    <w:rsid w:val="009E61AC"/>
    <w:rsid w:val="009E67C9"/>
    <w:rsid w:val="009F2FC3"/>
    <w:rsid w:val="00A10BA7"/>
    <w:rsid w:val="00A13273"/>
    <w:rsid w:val="00A17BA5"/>
    <w:rsid w:val="00A330F5"/>
    <w:rsid w:val="00A51667"/>
    <w:rsid w:val="00A6262F"/>
    <w:rsid w:val="00AA0C51"/>
    <w:rsid w:val="00AB454D"/>
    <w:rsid w:val="00AE0C16"/>
    <w:rsid w:val="00AE48B2"/>
    <w:rsid w:val="00B00005"/>
    <w:rsid w:val="00B07B4D"/>
    <w:rsid w:val="00B13C4F"/>
    <w:rsid w:val="00B27CB4"/>
    <w:rsid w:val="00B3140D"/>
    <w:rsid w:val="00B34862"/>
    <w:rsid w:val="00B35D29"/>
    <w:rsid w:val="00B45B05"/>
    <w:rsid w:val="00B60BAC"/>
    <w:rsid w:val="00B662CD"/>
    <w:rsid w:val="00B722CB"/>
    <w:rsid w:val="00B9005A"/>
    <w:rsid w:val="00B94558"/>
    <w:rsid w:val="00BA465A"/>
    <w:rsid w:val="00BB1110"/>
    <w:rsid w:val="00BC015A"/>
    <w:rsid w:val="00BD5FC3"/>
    <w:rsid w:val="00BE0660"/>
    <w:rsid w:val="00BE1766"/>
    <w:rsid w:val="00BF0A41"/>
    <w:rsid w:val="00C235A7"/>
    <w:rsid w:val="00C31356"/>
    <w:rsid w:val="00C60526"/>
    <w:rsid w:val="00C6088A"/>
    <w:rsid w:val="00C75C00"/>
    <w:rsid w:val="00C80507"/>
    <w:rsid w:val="00C933E6"/>
    <w:rsid w:val="00C95296"/>
    <w:rsid w:val="00CB207B"/>
    <w:rsid w:val="00CB7DD8"/>
    <w:rsid w:val="00CD25D4"/>
    <w:rsid w:val="00CD3A99"/>
    <w:rsid w:val="00CF3BE3"/>
    <w:rsid w:val="00D02385"/>
    <w:rsid w:val="00D0763F"/>
    <w:rsid w:val="00D40731"/>
    <w:rsid w:val="00D44426"/>
    <w:rsid w:val="00D44A48"/>
    <w:rsid w:val="00D51581"/>
    <w:rsid w:val="00D5283B"/>
    <w:rsid w:val="00D56F2B"/>
    <w:rsid w:val="00D71F28"/>
    <w:rsid w:val="00D72BB2"/>
    <w:rsid w:val="00D848AC"/>
    <w:rsid w:val="00D86844"/>
    <w:rsid w:val="00D86C3A"/>
    <w:rsid w:val="00D91C1A"/>
    <w:rsid w:val="00D95D39"/>
    <w:rsid w:val="00DA349E"/>
    <w:rsid w:val="00DA561C"/>
    <w:rsid w:val="00DA7E9E"/>
    <w:rsid w:val="00DB5207"/>
    <w:rsid w:val="00DD37BA"/>
    <w:rsid w:val="00DD797A"/>
    <w:rsid w:val="00E06BC6"/>
    <w:rsid w:val="00E1034F"/>
    <w:rsid w:val="00E10FC2"/>
    <w:rsid w:val="00E15E6B"/>
    <w:rsid w:val="00E26E8C"/>
    <w:rsid w:val="00E27459"/>
    <w:rsid w:val="00E32191"/>
    <w:rsid w:val="00E32D2F"/>
    <w:rsid w:val="00E40CBF"/>
    <w:rsid w:val="00E41205"/>
    <w:rsid w:val="00E4308C"/>
    <w:rsid w:val="00E46746"/>
    <w:rsid w:val="00E508AC"/>
    <w:rsid w:val="00E51F22"/>
    <w:rsid w:val="00E70265"/>
    <w:rsid w:val="00E76A66"/>
    <w:rsid w:val="00E77A76"/>
    <w:rsid w:val="00E85E04"/>
    <w:rsid w:val="00E900B4"/>
    <w:rsid w:val="00EA000B"/>
    <w:rsid w:val="00EA3BC1"/>
    <w:rsid w:val="00EA70E4"/>
    <w:rsid w:val="00EA75FD"/>
    <w:rsid w:val="00EC522F"/>
    <w:rsid w:val="00ED35D7"/>
    <w:rsid w:val="00ED5ADB"/>
    <w:rsid w:val="00ED660B"/>
    <w:rsid w:val="00EE489E"/>
    <w:rsid w:val="00EE524B"/>
    <w:rsid w:val="00EF171E"/>
    <w:rsid w:val="00F06809"/>
    <w:rsid w:val="00F17A0F"/>
    <w:rsid w:val="00F31FE5"/>
    <w:rsid w:val="00F52F6C"/>
    <w:rsid w:val="00F671AF"/>
    <w:rsid w:val="00F816A6"/>
    <w:rsid w:val="00F91B92"/>
    <w:rsid w:val="00FA2A3E"/>
    <w:rsid w:val="00FB7626"/>
    <w:rsid w:val="00FB78EF"/>
    <w:rsid w:val="00FC3FC4"/>
    <w:rsid w:val="00FC7851"/>
    <w:rsid w:val="00FD1A46"/>
    <w:rsid w:val="00FD515A"/>
    <w:rsid w:val="00FE0CA2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188"/>
  </w:style>
  <w:style w:type="paragraph" w:styleId="Heading1">
    <w:name w:val="heading 1"/>
    <w:basedOn w:val="Normal"/>
    <w:next w:val="Normal"/>
    <w:link w:val="Heading1Char"/>
    <w:uiPriority w:val="9"/>
    <w:qFormat/>
    <w:rsid w:val="00170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01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01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1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1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1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1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1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0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1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D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B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1701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18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DBF"/>
  </w:style>
  <w:style w:type="character" w:customStyle="1" w:styleId="BodyTextChar">
    <w:name w:val="Body Text Char"/>
    <w:basedOn w:val="DefaultParagraphFont"/>
    <w:link w:val="BodyText"/>
    <w:uiPriority w:val="99"/>
    <w:semiHidden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7D3D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FootnoteText">
    <w:name w:val="footnote text"/>
    <w:basedOn w:val="Normal"/>
    <w:link w:val="FootnoteTextChar"/>
    <w:uiPriority w:val="99"/>
    <w:unhideWhenUsed/>
    <w:rsid w:val="007D3DBF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3DBF"/>
    <w:rPr>
      <w:rFonts w:ascii="Arial" w:eastAsia="Times New Roman" w:hAnsi="Arial" w:cs="Times New Roman"/>
      <w:sz w:val="20"/>
      <w:szCs w:val="20"/>
      <w:lang w:eastAsia="el-GR"/>
    </w:rPr>
  </w:style>
  <w:style w:type="character" w:styleId="FootnoteReference">
    <w:name w:val="footnote reference"/>
    <w:uiPriority w:val="99"/>
    <w:rsid w:val="007D3D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018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23311B"/>
    <w:pPr>
      <w:tabs>
        <w:tab w:val="right" w:leader="dot" w:pos="9016"/>
      </w:tabs>
      <w:spacing w:after="100"/>
      <w:ind w:left="426" w:hanging="426"/>
    </w:pPr>
  </w:style>
  <w:style w:type="paragraph" w:styleId="TOC2">
    <w:name w:val="toc 2"/>
    <w:basedOn w:val="Normal"/>
    <w:next w:val="Normal"/>
    <w:autoRedefine/>
    <w:uiPriority w:val="39"/>
    <w:unhideWhenUsed/>
    <w:rsid w:val="006E3F9D"/>
    <w:pPr>
      <w:tabs>
        <w:tab w:val="left" w:pos="1440"/>
        <w:tab w:val="right" w:leader="dot" w:pos="9016"/>
      </w:tabs>
      <w:spacing w:after="100"/>
      <w:ind w:left="1560" w:hanging="1560"/>
    </w:pPr>
    <w:rPr>
      <w:rFonts w:ascii="Modern No. 20" w:eastAsia="Times New Roman" w:hAnsi="Modern No. 20"/>
      <w:noProof/>
      <w:lang w:val="en-US" w:eastAsia="el-GR"/>
    </w:rPr>
  </w:style>
  <w:style w:type="paragraph" w:styleId="TOC3">
    <w:name w:val="toc 3"/>
    <w:basedOn w:val="Normal"/>
    <w:next w:val="Normal"/>
    <w:autoRedefine/>
    <w:uiPriority w:val="39"/>
    <w:unhideWhenUsed/>
    <w:rsid w:val="009C2021"/>
    <w:pPr>
      <w:tabs>
        <w:tab w:val="left" w:pos="1680"/>
        <w:tab w:val="right" w:leader="dot" w:pos="9016"/>
      </w:tabs>
      <w:spacing w:after="100"/>
      <w:ind w:left="426" w:hanging="142"/>
    </w:pPr>
  </w:style>
  <w:style w:type="paragraph" w:styleId="TOC4">
    <w:name w:val="toc 4"/>
    <w:basedOn w:val="Normal"/>
    <w:next w:val="Normal"/>
    <w:autoRedefine/>
    <w:uiPriority w:val="39"/>
    <w:unhideWhenUsed/>
    <w:rsid w:val="009F2FC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F2FC3"/>
    <w:pPr>
      <w:spacing w:after="100"/>
      <w:ind w:left="960"/>
    </w:pPr>
  </w:style>
  <w:style w:type="character" w:styleId="Hyperlink">
    <w:name w:val="Hyperlink"/>
    <w:basedOn w:val="DefaultParagraphFont"/>
    <w:uiPriority w:val="99"/>
    <w:unhideWhenUsed/>
    <w:rsid w:val="009F2FC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B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B5"/>
    <w:rPr>
      <w:rFonts w:eastAsia="Times New Roman" w:cs="Times New Roman"/>
      <w:sz w:val="24"/>
      <w:szCs w:val="20"/>
      <w:lang w:eastAsia="el-GR"/>
    </w:rPr>
  </w:style>
  <w:style w:type="paragraph" w:styleId="Caption">
    <w:name w:val="caption"/>
    <w:basedOn w:val="Normal"/>
    <w:next w:val="Normal"/>
    <w:uiPriority w:val="35"/>
    <w:unhideWhenUsed/>
    <w:qFormat/>
    <w:rsid w:val="001701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448EB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1701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0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29059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059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0591"/>
    <w:rPr>
      <w:rFonts w:ascii="Arial" w:eastAsia="Times New Roman" w:hAnsi="Arial" w:cs="Arial"/>
      <w:vanish/>
      <w:sz w:val="16"/>
      <w:szCs w:val="16"/>
      <w:lang w:eastAsia="el-GR"/>
    </w:rPr>
  </w:style>
  <w:style w:type="numbering" w:customStyle="1" w:styleId="1">
    <w:name w:val="Χωρίς λίστα1"/>
    <w:next w:val="NoList"/>
    <w:semiHidden/>
    <w:unhideWhenUsed/>
    <w:rsid w:val="00B35D29"/>
  </w:style>
  <w:style w:type="character" w:styleId="PageNumber">
    <w:name w:val="page number"/>
    <w:basedOn w:val="DefaultParagraphFont"/>
    <w:rsid w:val="00B35D29"/>
  </w:style>
  <w:style w:type="table" w:styleId="TableGrid">
    <w:name w:val="Table Grid"/>
    <w:basedOn w:val="TableNormal"/>
    <w:uiPriority w:val="59"/>
    <w:rsid w:val="00B3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B35D2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B35D2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EndnoteReference">
    <w:name w:val="endnote reference"/>
    <w:basedOn w:val="DefaultParagraphFont"/>
    <w:rsid w:val="00B35D29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0BA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0BAC"/>
    <w:rPr>
      <w:rFonts w:ascii="Consolas" w:eastAsia="Times New Roman" w:hAnsi="Consolas" w:cs="Consolas"/>
      <w:sz w:val="21"/>
      <w:szCs w:val="21"/>
      <w:lang w:eastAsia="el-GR"/>
    </w:rPr>
  </w:style>
  <w:style w:type="paragraph" w:styleId="Quote">
    <w:name w:val="Quote"/>
    <w:basedOn w:val="Normal"/>
    <w:next w:val="Normal"/>
    <w:link w:val="QuoteChar"/>
    <w:uiPriority w:val="29"/>
    <w:qFormat/>
    <w:rsid w:val="00170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0188"/>
    <w:rPr>
      <w:i/>
      <w:iCs/>
      <w:color w:val="000000" w:themeColor="text1"/>
    </w:rPr>
  </w:style>
  <w:style w:type="paragraph" w:styleId="NormalIndent">
    <w:name w:val="Normal Indent"/>
    <w:basedOn w:val="Normal"/>
    <w:uiPriority w:val="99"/>
    <w:semiHidden/>
    <w:unhideWhenUsed/>
    <w:rsid w:val="00B60BAC"/>
    <w:p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B60BAC"/>
  </w:style>
  <w:style w:type="paragraph" w:styleId="HTMLAddress">
    <w:name w:val="HTML Address"/>
    <w:basedOn w:val="Normal"/>
    <w:link w:val="HTMLAddressChar"/>
    <w:uiPriority w:val="99"/>
    <w:semiHidden/>
    <w:unhideWhenUsed/>
    <w:rsid w:val="00B60BA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0BAC"/>
    <w:rPr>
      <w:rFonts w:eastAsia="Times New Roman" w:cs="Times New Roman"/>
      <w:i/>
      <w:iCs/>
      <w:sz w:val="24"/>
      <w:szCs w:val="20"/>
      <w:lang w:eastAsia="el-GR"/>
    </w:rPr>
  </w:style>
  <w:style w:type="paragraph" w:styleId="EnvelopeReturn">
    <w:name w:val="envelope return"/>
    <w:basedOn w:val="Normal"/>
    <w:uiPriority w:val="99"/>
    <w:semiHidden/>
    <w:unhideWhenUsed/>
    <w:rsid w:val="00B60BAC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EnvelopeAddress">
    <w:name w:val="envelope address"/>
    <w:basedOn w:val="Normal"/>
    <w:uiPriority w:val="99"/>
    <w:semiHidden/>
    <w:unhideWhenUsed/>
    <w:rsid w:val="00B60BA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1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188"/>
    <w:rPr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1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1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18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1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B60BAC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0BAC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B60BA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0188"/>
    <w:pPr>
      <w:outlineLvl w:val="9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0BA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B60BAC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0BAC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0BAC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0BAC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0BAC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0BAC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0BAC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0BAC"/>
    <w:pPr>
      <w:spacing w:after="0" w:line="240" w:lineRule="auto"/>
      <w:ind w:left="2160" w:hanging="2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60BAC"/>
  </w:style>
  <w:style w:type="character" w:customStyle="1" w:styleId="DateChar">
    <w:name w:val="Date Char"/>
    <w:basedOn w:val="DefaultParagraphFont"/>
    <w:link w:val="Date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BA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BAC"/>
    <w:rPr>
      <w:rFonts w:eastAsia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BAC"/>
    <w:rPr>
      <w:rFonts w:eastAsia="Times New Roman" w:cs="Times New Roman"/>
      <w:b/>
      <w:bCs/>
      <w:sz w:val="20"/>
      <w:szCs w:val="20"/>
      <w:lang w:eastAsia="el-GR"/>
    </w:rPr>
  </w:style>
  <w:style w:type="paragraph" w:styleId="MacroText">
    <w:name w:val="macro"/>
    <w:link w:val="MacroTextChar"/>
    <w:uiPriority w:val="99"/>
    <w:semiHidden/>
    <w:unhideWhenUsed/>
    <w:rsid w:val="00B60B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20"/>
    </w:pPr>
    <w:rPr>
      <w:rFonts w:ascii="Consolas" w:eastAsia="Times New Roman" w:hAnsi="Consolas" w:cs="Consolas"/>
      <w:sz w:val="20"/>
      <w:szCs w:val="20"/>
      <w:lang w:eastAsia="el-GR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0BAC"/>
    <w:rPr>
      <w:rFonts w:ascii="Consolas" w:eastAsia="Times New Roman" w:hAnsi="Consolas" w:cs="Consolas"/>
      <w:sz w:val="20"/>
      <w:szCs w:val="20"/>
      <w:lang w:eastAsia="el-GR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0B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0BAC"/>
    <w:rPr>
      <w:rFonts w:asciiTheme="majorHAnsi" w:eastAsiaTheme="majorEastAsia" w:hAnsiTheme="majorHAnsi" w:cstheme="majorBidi"/>
      <w:sz w:val="24"/>
      <w:szCs w:val="24"/>
      <w:shd w:val="pct20" w:color="auto" w:fill="auto"/>
      <w:lang w:eastAsia="el-GR"/>
    </w:rPr>
  </w:style>
  <w:style w:type="paragraph" w:styleId="Closing">
    <w:name w:val="Closing"/>
    <w:basedOn w:val="Normal"/>
    <w:link w:val="ClosingChar"/>
    <w:uiPriority w:val="99"/>
    <w:semiHidden/>
    <w:unhideWhenUsed/>
    <w:rsid w:val="00B60BA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List">
    <w:name w:val="List"/>
    <w:basedOn w:val="Normal"/>
    <w:uiPriority w:val="99"/>
    <w:semiHidden/>
    <w:unhideWhenUsed/>
    <w:rsid w:val="00B60BA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60BA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60BA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60BA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60BAC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B60BA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0BAC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0BAC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0BAC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0BAC"/>
    <w:pPr>
      <w:numPr>
        <w:numId w:val="6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B60BAC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0BAC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0BAC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0BAC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0BAC"/>
    <w:pPr>
      <w:numPr>
        <w:numId w:val="11"/>
      </w:numPr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0BAC"/>
    <w:pPr>
      <w:spacing w:after="0"/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0BA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0BA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0BA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0BAC"/>
    <w:pPr>
      <w:spacing w:after="100"/>
      <w:ind w:left="192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0BAC"/>
    <w:pPr>
      <w:spacing w:after="0"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0BAC"/>
    <w:rPr>
      <w:rFonts w:ascii="Consolas" w:eastAsia="Times New Roman" w:hAnsi="Consolas" w:cs="Consolas"/>
      <w:sz w:val="20"/>
      <w:szCs w:val="20"/>
      <w:lang w:eastAsia="el-GR"/>
    </w:rPr>
  </w:style>
  <w:style w:type="paragraph" w:styleId="ListContinue">
    <w:name w:val="List Continue"/>
    <w:basedOn w:val="Normal"/>
    <w:uiPriority w:val="99"/>
    <w:semiHidden/>
    <w:unhideWhenUsed/>
    <w:rsid w:val="00B60BAC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0BAC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0BAC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0BAC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0BAC"/>
    <w:pPr>
      <w:ind w:left="1415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60BA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0BA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0BAC"/>
    <w:rPr>
      <w:rFonts w:eastAsia="Times New Roman" w:cs="Times New Roman"/>
      <w:sz w:val="16"/>
      <w:szCs w:val="16"/>
      <w:lang w:eastAsia="el-G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0BA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0BA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0BA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0BAC"/>
    <w:rPr>
      <w:rFonts w:eastAsia="Times New Roman" w:cs="Times New Roman"/>
      <w:sz w:val="16"/>
      <w:szCs w:val="16"/>
      <w:lang w:eastAsia="el-GR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0BAC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0BAC"/>
    <w:rPr>
      <w:rFonts w:ascii="Arial" w:eastAsia="Times New Roman" w:hAnsi="Arial" w:cs="Times New Roman"/>
      <w:sz w:val="24"/>
      <w:szCs w:val="20"/>
      <w:lang w:eastAsia="el-G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0BAC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BlockText">
    <w:name w:val="Block Text"/>
    <w:basedOn w:val="Normal"/>
    <w:uiPriority w:val="99"/>
    <w:semiHidden/>
    <w:unhideWhenUsed/>
    <w:rsid w:val="00B60BA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60BA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0BA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1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0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60B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0BA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0BAC"/>
    <w:rPr>
      <w:rFonts w:ascii="Segoe UI" w:eastAsia="Times New Roman" w:hAnsi="Segoe UI" w:cs="Segoe UI"/>
      <w:sz w:val="16"/>
      <w:szCs w:val="16"/>
      <w:lang w:eastAsia="el-GR"/>
    </w:rPr>
  </w:style>
  <w:style w:type="paragraph" w:styleId="NoSpacing">
    <w:name w:val="No Spacing"/>
    <w:uiPriority w:val="1"/>
    <w:qFormat/>
    <w:rsid w:val="00170188"/>
    <w:pPr>
      <w:spacing w:after="0" w:line="240" w:lineRule="auto"/>
    </w:pPr>
  </w:style>
  <w:style w:type="numbering" w:customStyle="1" w:styleId="2">
    <w:name w:val="Χωρίς λίστα2"/>
    <w:next w:val="NoList"/>
    <w:semiHidden/>
    <w:rsid w:val="002E7ABB"/>
  </w:style>
  <w:style w:type="numbering" w:customStyle="1" w:styleId="3">
    <w:name w:val="Χωρίς λίστα3"/>
    <w:next w:val="NoList"/>
    <w:uiPriority w:val="99"/>
    <w:semiHidden/>
    <w:unhideWhenUsed/>
    <w:rsid w:val="00F91B92"/>
  </w:style>
  <w:style w:type="table" w:customStyle="1" w:styleId="10">
    <w:name w:val="Πλέγμα πίνακα1"/>
    <w:basedOn w:val="TableNormal"/>
    <w:next w:val="TableGrid"/>
    <w:uiPriority w:val="59"/>
    <w:rsid w:val="00F91B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Χωρίς λίστα4"/>
    <w:next w:val="NoList"/>
    <w:uiPriority w:val="99"/>
    <w:semiHidden/>
    <w:unhideWhenUsed/>
    <w:rsid w:val="00EE489E"/>
  </w:style>
  <w:style w:type="table" w:customStyle="1" w:styleId="20">
    <w:name w:val="Πλέγμα πίνακα2"/>
    <w:basedOn w:val="TableNormal"/>
    <w:next w:val="TableGrid"/>
    <w:uiPriority w:val="59"/>
    <w:rsid w:val="00EE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Χωρίς λίστα5"/>
    <w:next w:val="NoList"/>
    <w:uiPriority w:val="99"/>
    <w:semiHidden/>
    <w:unhideWhenUsed/>
    <w:rsid w:val="007C2479"/>
  </w:style>
  <w:style w:type="table" w:customStyle="1" w:styleId="30">
    <w:name w:val="Πλέγμα πίνακα3"/>
    <w:basedOn w:val="TableNormal"/>
    <w:next w:val="TableGrid"/>
    <w:uiPriority w:val="59"/>
    <w:rsid w:val="007C24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Χωρίς λίστα6"/>
    <w:next w:val="NoList"/>
    <w:uiPriority w:val="99"/>
    <w:semiHidden/>
    <w:unhideWhenUsed/>
    <w:rsid w:val="0025008E"/>
  </w:style>
  <w:style w:type="table" w:customStyle="1" w:styleId="40">
    <w:name w:val="Πλέγμα πίνακα4"/>
    <w:basedOn w:val="TableNormal"/>
    <w:next w:val="TableGrid"/>
    <w:uiPriority w:val="59"/>
    <w:rsid w:val="002500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Χωρίς λίστα7"/>
    <w:next w:val="NoList"/>
    <w:uiPriority w:val="99"/>
    <w:semiHidden/>
    <w:unhideWhenUsed/>
    <w:rsid w:val="00317E81"/>
  </w:style>
  <w:style w:type="table" w:customStyle="1" w:styleId="50">
    <w:name w:val="Πλέγμα πίνακα5"/>
    <w:basedOn w:val="TableNormal"/>
    <w:next w:val="TableGrid"/>
    <w:uiPriority w:val="59"/>
    <w:rsid w:val="00317E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">
    <w:name w:val="Χωρίς λίστα8"/>
    <w:next w:val="NoList"/>
    <w:uiPriority w:val="99"/>
    <w:semiHidden/>
    <w:unhideWhenUsed/>
    <w:rsid w:val="00394035"/>
  </w:style>
  <w:style w:type="table" w:customStyle="1" w:styleId="60">
    <w:name w:val="Πλέγμα πίνακα6"/>
    <w:basedOn w:val="TableNormal"/>
    <w:next w:val="TableGrid"/>
    <w:uiPriority w:val="59"/>
    <w:rsid w:val="003940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">
    <w:name w:val="Χωρίς λίστα9"/>
    <w:next w:val="NoList"/>
    <w:uiPriority w:val="99"/>
    <w:semiHidden/>
    <w:unhideWhenUsed/>
    <w:rsid w:val="00D848AC"/>
  </w:style>
  <w:style w:type="table" w:customStyle="1" w:styleId="70">
    <w:name w:val="Πλέγμα πίνακα7"/>
    <w:basedOn w:val="TableNormal"/>
    <w:next w:val="TableGrid"/>
    <w:uiPriority w:val="59"/>
    <w:rsid w:val="00D84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Χωρίς λίστα10"/>
    <w:next w:val="NoList"/>
    <w:uiPriority w:val="99"/>
    <w:semiHidden/>
    <w:unhideWhenUsed/>
    <w:rsid w:val="006044CF"/>
  </w:style>
  <w:style w:type="table" w:customStyle="1" w:styleId="80">
    <w:name w:val="Πλέγμα πίνακα8"/>
    <w:basedOn w:val="TableNormal"/>
    <w:next w:val="TableGrid"/>
    <w:uiPriority w:val="59"/>
    <w:rsid w:val="006044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Χωρίς λίστα11"/>
    <w:next w:val="NoList"/>
    <w:uiPriority w:val="99"/>
    <w:semiHidden/>
    <w:unhideWhenUsed/>
    <w:rsid w:val="00C95296"/>
  </w:style>
  <w:style w:type="character" w:styleId="Strong">
    <w:name w:val="Strong"/>
    <w:basedOn w:val="DefaultParagraphFont"/>
    <w:uiPriority w:val="22"/>
    <w:qFormat/>
    <w:rsid w:val="0017018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529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5296"/>
    <w:rPr>
      <w:rFonts w:ascii="Arial" w:eastAsia="Times New Roman" w:hAnsi="Arial" w:cs="Arial"/>
      <w:vanish/>
      <w:sz w:val="16"/>
      <w:szCs w:val="16"/>
      <w:lang w:eastAsia="el-GR"/>
    </w:rPr>
  </w:style>
  <w:style w:type="table" w:customStyle="1" w:styleId="90">
    <w:name w:val="Πλέγμα πίνακα9"/>
    <w:basedOn w:val="TableNormal"/>
    <w:next w:val="TableGrid"/>
    <w:uiPriority w:val="59"/>
    <w:rsid w:val="00C952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17018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70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018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7018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018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018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188"/>
  </w:style>
  <w:style w:type="paragraph" w:styleId="Heading1">
    <w:name w:val="heading 1"/>
    <w:basedOn w:val="Normal"/>
    <w:next w:val="Normal"/>
    <w:link w:val="Heading1Char"/>
    <w:uiPriority w:val="9"/>
    <w:qFormat/>
    <w:rsid w:val="00170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01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01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1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1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1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1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1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0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1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D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DB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1701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18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DBF"/>
  </w:style>
  <w:style w:type="character" w:customStyle="1" w:styleId="BodyTextChar">
    <w:name w:val="Body Text Char"/>
    <w:basedOn w:val="DefaultParagraphFont"/>
    <w:link w:val="BodyText"/>
    <w:uiPriority w:val="99"/>
    <w:semiHidden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7D3D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3DBF"/>
    <w:rPr>
      <w:rFonts w:ascii="Arial" w:eastAsia="Times New Roman" w:hAnsi="Arial" w:cs="Times New Roman"/>
      <w:sz w:val="24"/>
      <w:szCs w:val="20"/>
      <w:lang w:eastAsia="el-GR"/>
    </w:rPr>
  </w:style>
  <w:style w:type="paragraph" w:styleId="FootnoteText">
    <w:name w:val="footnote text"/>
    <w:basedOn w:val="Normal"/>
    <w:link w:val="FootnoteTextChar"/>
    <w:uiPriority w:val="99"/>
    <w:unhideWhenUsed/>
    <w:rsid w:val="007D3DBF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3DBF"/>
    <w:rPr>
      <w:rFonts w:ascii="Arial" w:eastAsia="Times New Roman" w:hAnsi="Arial" w:cs="Times New Roman"/>
      <w:sz w:val="20"/>
      <w:szCs w:val="20"/>
      <w:lang w:eastAsia="el-GR"/>
    </w:rPr>
  </w:style>
  <w:style w:type="character" w:styleId="FootnoteReference">
    <w:name w:val="footnote reference"/>
    <w:uiPriority w:val="99"/>
    <w:rsid w:val="007D3D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018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23311B"/>
    <w:pPr>
      <w:tabs>
        <w:tab w:val="right" w:leader="dot" w:pos="9016"/>
      </w:tabs>
      <w:spacing w:after="100"/>
      <w:ind w:left="426" w:hanging="426"/>
    </w:pPr>
  </w:style>
  <w:style w:type="paragraph" w:styleId="TOC2">
    <w:name w:val="toc 2"/>
    <w:basedOn w:val="Normal"/>
    <w:next w:val="Normal"/>
    <w:autoRedefine/>
    <w:uiPriority w:val="39"/>
    <w:unhideWhenUsed/>
    <w:rsid w:val="006E3F9D"/>
    <w:pPr>
      <w:tabs>
        <w:tab w:val="left" w:pos="1440"/>
        <w:tab w:val="right" w:leader="dot" w:pos="9016"/>
      </w:tabs>
      <w:spacing w:after="100"/>
      <w:ind w:left="1560" w:hanging="1560"/>
    </w:pPr>
    <w:rPr>
      <w:rFonts w:ascii="Modern No. 20" w:eastAsia="Times New Roman" w:hAnsi="Modern No. 20"/>
      <w:noProof/>
      <w:lang w:val="en-US" w:eastAsia="el-GR"/>
    </w:rPr>
  </w:style>
  <w:style w:type="paragraph" w:styleId="TOC3">
    <w:name w:val="toc 3"/>
    <w:basedOn w:val="Normal"/>
    <w:next w:val="Normal"/>
    <w:autoRedefine/>
    <w:uiPriority w:val="39"/>
    <w:unhideWhenUsed/>
    <w:rsid w:val="009C2021"/>
    <w:pPr>
      <w:tabs>
        <w:tab w:val="left" w:pos="1680"/>
        <w:tab w:val="right" w:leader="dot" w:pos="9016"/>
      </w:tabs>
      <w:spacing w:after="100"/>
      <w:ind w:left="426" w:hanging="142"/>
    </w:pPr>
  </w:style>
  <w:style w:type="paragraph" w:styleId="TOC4">
    <w:name w:val="toc 4"/>
    <w:basedOn w:val="Normal"/>
    <w:next w:val="Normal"/>
    <w:autoRedefine/>
    <w:uiPriority w:val="39"/>
    <w:unhideWhenUsed/>
    <w:rsid w:val="009F2FC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F2FC3"/>
    <w:pPr>
      <w:spacing w:after="100"/>
      <w:ind w:left="960"/>
    </w:pPr>
  </w:style>
  <w:style w:type="character" w:styleId="Hyperlink">
    <w:name w:val="Hyperlink"/>
    <w:basedOn w:val="DefaultParagraphFont"/>
    <w:uiPriority w:val="99"/>
    <w:unhideWhenUsed/>
    <w:rsid w:val="009F2FC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B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B5"/>
    <w:rPr>
      <w:rFonts w:eastAsia="Times New Roman" w:cs="Times New Roman"/>
      <w:sz w:val="24"/>
      <w:szCs w:val="20"/>
      <w:lang w:eastAsia="el-GR"/>
    </w:rPr>
  </w:style>
  <w:style w:type="paragraph" w:styleId="Caption">
    <w:name w:val="caption"/>
    <w:basedOn w:val="Normal"/>
    <w:next w:val="Normal"/>
    <w:uiPriority w:val="35"/>
    <w:unhideWhenUsed/>
    <w:qFormat/>
    <w:rsid w:val="001701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448EB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1701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0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29059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059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0591"/>
    <w:rPr>
      <w:rFonts w:ascii="Arial" w:eastAsia="Times New Roman" w:hAnsi="Arial" w:cs="Arial"/>
      <w:vanish/>
      <w:sz w:val="16"/>
      <w:szCs w:val="16"/>
      <w:lang w:eastAsia="el-GR"/>
    </w:rPr>
  </w:style>
  <w:style w:type="numbering" w:customStyle="1" w:styleId="1">
    <w:name w:val="Χωρίς λίστα1"/>
    <w:next w:val="NoList"/>
    <w:semiHidden/>
    <w:unhideWhenUsed/>
    <w:rsid w:val="00B35D29"/>
  </w:style>
  <w:style w:type="character" w:styleId="PageNumber">
    <w:name w:val="page number"/>
    <w:basedOn w:val="DefaultParagraphFont"/>
    <w:rsid w:val="00B35D29"/>
  </w:style>
  <w:style w:type="table" w:styleId="TableGrid">
    <w:name w:val="Table Grid"/>
    <w:basedOn w:val="TableNormal"/>
    <w:uiPriority w:val="59"/>
    <w:rsid w:val="00B3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B35D2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B35D2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EndnoteReference">
    <w:name w:val="endnote reference"/>
    <w:basedOn w:val="DefaultParagraphFont"/>
    <w:rsid w:val="00B35D29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0BA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0BAC"/>
    <w:rPr>
      <w:rFonts w:ascii="Consolas" w:eastAsia="Times New Roman" w:hAnsi="Consolas" w:cs="Consolas"/>
      <w:sz w:val="21"/>
      <w:szCs w:val="21"/>
      <w:lang w:eastAsia="el-GR"/>
    </w:rPr>
  </w:style>
  <w:style w:type="paragraph" w:styleId="Quote">
    <w:name w:val="Quote"/>
    <w:basedOn w:val="Normal"/>
    <w:next w:val="Normal"/>
    <w:link w:val="QuoteChar"/>
    <w:uiPriority w:val="29"/>
    <w:qFormat/>
    <w:rsid w:val="00170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0188"/>
    <w:rPr>
      <w:i/>
      <w:iCs/>
      <w:color w:val="000000" w:themeColor="text1"/>
    </w:rPr>
  </w:style>
  <w:style w:type="paragraph" w:styleId="NormalIndent">
    <w:name w:val="Normal Indent"/>
    <w:basedOn w:val="Normal"/>
    <w:uiPriority w:val="99"/>
    <w:semiHidden/>
    <w:unhideWhenUsed/>
    <w:rsid w:val="00B60BAC"/>
    <w:p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B60BAC"/>
  </w:style>
  <w:style w:type="paragraph" w:styleId="HTMLAddress">
    <w:name w:val="HTML Address"/>
    <w:basedOn w:val="Normal"/>
    <w:link w:val="HTMLAddressChar"/>
    <w:uiPriority w:val="99"/>
    <w:semiHidden/>
    <w:unhideWhenUsed/>
    <w:rsid w:val="00B60BA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0BAC"/>
    <w:rPr>
      <w:rFonts w:eastAsia="Times New Roman" w:cs="Times New Roman"/>
      <w:i/>
      <w:iCs/>
      <w:sz w:val="24"/>
      <w:szCs w:val="20"/>
      <w:lang w:eastAsia="el-GR"/>
    </w:rPr>
  </w:style>
  <w:style w:type="paragraph" w:styleId="EnvelopeReturn">
    <w:name w:val="envelope return"/>
    <w:basedOn w:val="Normal"/>
    <w:uiPriority w:val="99"/>
    <w:semiHidden/>
    <w:unhideWhenUsed/>
    <w:rsid w:val="00B60BAC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EnvelopeAddress">
    <w:name w:val="envelope address"/>
    <w:basedOn w:val="Normal"/>
    <w:uiPriority w:val="99"/>
    <w:semiHidden/>
    <w:unhideWhenUsed/>
    <w:rsid w:val="00B60BA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1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188"/>
    <w:rPr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1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1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18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1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B60BAC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0BAC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B60BA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0188"/>
    <w:pPr>
      <w:outlineLvl w:val="9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0BA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B60BAC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0BAC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0BAC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0BAC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0BAC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0BAC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0BAC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0BAC"/>
    <w:pPr>
      <w:spacing w:after="0" w:line="240" w:lineRule="auto"/>
      <w:ind w:left="2160" w:hanging="2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60BAC"/>
  </w:style>
  <w:style w:type="character" w:customStyle="1" w:styleId="DateChar">
    <w:name w:val="Date Char"/>
    <w:basedOn w:val="DefaultParagraphFont"/>
    <w:link w:val="Date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BA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BAC"/>
    <w:rPr>
      <w:rFonts w:eastAsia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BAC"/>
    <w:rPr>
      <w:rFonts w:eastAsia="Times New Roman" w:cs="Times New Roman"/>
      <w:b/>
      <w:bCs/>
      <w:sz w:val="20"/>
      <w:szCs w:val="20"/>
      <w:lang w:eastAsia="el-GR"/>
    </w:rPr>
  </w:style>
  <w:style w:type="paragraph" w:styleId="MacroText">
    <w:name w:val="macro"/>
    <w:link w:val="MacroTextChar"/>
    <w:uiPriority w:val="99"/>
    <w:semiHidden/>
    <w:unhideWhenUsed/>
    <w:rsid w:val="00B60B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20"/>
    </w:pPr>
    <w:rPr>
      <w:rFonts w:ascii="Consolas" w:eastAsia="Times New Roman" w:hAnsi="Consolas" w:cs="Consolas"/>
      <w:sz w:val="20"/>
      <w:szCs w:val="20"/>
      <w:lang w:eastAsia="el-GR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0BAC"/>
    <w:rPr>
      <w:rFonts w:ascii="Consolas" w:eastAsia="Times New Roman" w:hAnsi="Consolas" w:cs="Consolas"/>
      <w:sz w:val="20"/>
      <w:szCs w:val="20"/>
      <w:lang w:eastAsia="el-GR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0B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0BAC"/>
    <w:rPr>
      <w:rFonts w:asciiTheme="majorHAnsi" w:eastAsiaTheme="majorEastAsia" w:hAnsiTheme="majorHAnsi" w:cstheme="majorBidi"/>
      <w:sz w:val="24"/>
      <w:szCs w:val="24"/>
      <w:shd w:val="pct20" w:color="auto" w:fill="auto"/>
      <w:lang w:eastAsia="el-GR"/>
    </w:rPr>
  </w:style>
  <w:style w:type="paragraph" w:styleId="Closing">
    <w:name w:val="Closing"/>
    <w:basedOn w:val="Normal"/>
    <w:link w:val="ClosingChar"/>
    <w:uiPriority w:val="99"/>
    <w:semiHidden/>
    <w:unhideWhenUsed/>
    <w:rsid w:val="00B60BA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List">
    <w:name w:val="List"/>
    <w:basedOn w:val="Normal"/>
    <w:uiPriority w:val="99"/>
    <w:semiHidden/>
    <w:unhideWhenUsed/>
    <w:rsid w:val="00B60BA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60BA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60BA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60BA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60BAC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B60BA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0BAC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0BAC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0BAC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0BAC"/>
    <w:pPr>
      <w:numPr>
        <w:numId w:val="6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B60BAC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0BAC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0BAC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0BAC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0BAC"/>
    <w:pPr>
      <w:numPr>
        <w:numId w:val="11"/>
      </w:numPr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0BAC"/>
    <w:pPr>
      <w:spacing w:after="0"/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0BA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0BA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0BA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0BAC"/>
    <w:pPr>
      <w:spacing w:after="100"/>
      <w:ind w:left="192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0BAC"/>
    <w:pPr>
      <w:spacing w:after="0"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0BAC"/>
    <w:rPr>
      <w:rFonts w:ascii="Consolas" w:eastAsia="Times New Roman" w:hAnsi="Consolas" w:cs="Consolas"/>
      <w:sz w:val="20"/>
      <w:szCs w:val="20"/>
      <w:lang w:eastAsia="el-GR"/>
    </w:rPr>
  </w:style>
  <w:style w:type="paragraph" w:styleId="ListContinue">
    <w:name w:val="List Continue"/>
    <w:basedOn w:val="Normal"/>
    <w:uiPriority w:val="99"/>
    <w:semiHidden/>
    <w:unhideWhenUsed/>
    <w:rsid w:val="00B60BAC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0BAC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0BAC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0BAC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0BAC"/>
    <w:pPr>
      <w:ind w:left="1415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60BA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0BA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0BAC"/>
    <w:rPr>
      <w:rFonts w:eastAsia="Times New Roman" w:cs="Times New Roman"/>
      <w:sz w:val="16"/>
      <w:szCs w:val="16"/>
      <w:lang w:eastAsia="el-G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0BA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0BA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0BA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0BAC"/>
    <w:rPr>
      <w:rFonts w:eastAsia="Times New Roman" w:cs="Times New Roman"/>
      <w:sz w:val="16"/>
      <w:szCs w:val="16"/>
      <w:lang w:eastAsia="el-GR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0BAC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0BAC"/>
    <w:rPr>
      <w:rFonts w:ascii="Arial" w:eastAsia="Times New Roman" w:hAnsi="Arial" w:cs="Times New Roman"/>
      <w:sz w:val="24"/>
      <w:szCs w:val="20"/>
      <w:lang w:eastAsia="el-G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0BAC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BlockText">
    <w:name w:val="Block Text"/>
    <w:basedOn w:val="Normal"/>
    <w:uiPriority w:val="99"/>
    <w:semiHidden/>
    <w:unhideWhenUsed/>
    <w:rsid w:val="00B60BA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60BA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0BA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1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0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60B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60BAC"/>
    <w:rPr>
      <w:rFonts w:eastAsia="Times New Roman" w:cs="Times New Roman"/>
      <w:sz w:val="24"/>
      <w:szCs w:val="20"/>
      <w:lang w:eastAsia="el-G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0BA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0BAC"/>
    <w:rPr>
      <w:rFonts w:ascii="Segoe UI" w:eastAsia="Times New Roman" w:hAnsi="Segoe UI" w:cs="Segoe UI"/>
      <w:sz w:val="16"/>
      <w:szCs w:val="16"/>
      <w:lang w:eastAsia="el-GR"/>
    </w:rPr>
  </w:style>
  <w:style w:type="paragraph" w:styleId="NoSpacing">
    <w:name w:val="No Spacing"/>
    <w:uiPriority w:val="1"/>
    <w:qFormat/>
    <w:rsid w:val="00170188"/>
    <w:pPr>
      <w:spacing w:after="0" w:line="240" w:lineRule="auto"/>
    </w:pPr>
  </w:style>
  <w:style w:type="numbering" w:customStyle="1" w:styleId="2">
    <w:name w:val="Χωρίς λίστα2"/>
    <w:next w:val="NoList"/>
    <w:semiHidden/>
    <w:rsid w:val="002E7ABB"/>
  </w:style>
  <w:style w:type="numbering" w:customStyle="1" w:styleId="3">
    <w:name w:val="Χωρίς λίστα3"/>
    <w:next w:val="NoList"/>
    <w:uiPriority w:val="99"/>
    <w:semiHidden/>
    <w:unhideWhenUsed/>
    <w:rsid w:val="00F91B92"/>
  </w:style>
  <w:style w:type="table" w:customStyle="1" w:styleId="10">
    <w:name w:val="Πλέγμα πίνακα1"/>
    <w:basedOn w:val="TableNormal"/>
    <w:next w:val="TableGrid"/>
    <w:uiPriority w:val="59"/>
    <w:rsid w:val="00F91B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Χωρίς λίστα4"/>
    <w:next w:val="NoList"/>
    <w:uiPriority w:val="99"/>
    <w:semiHidden/>
    <w:unhideWhenUsed/>
    <w:rsid w:val="00EE489E"/>
  </w:style>
  <w:style w:type="table" w:customStyle="1" w:styleId="20">
    <w:name w:val="Πλέγμα πίνακα2"/>
    <w:basedOn w:val="TableNormal"/>
    <w:next w:val="TableGrid"/>
    <w:uiPriority w:val="59"/>
    <w:rsid w:val="00EE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Χωρίς λίστα5"/>
    <w:next w:val="NoList"/>
    <w:uiPriority w:val="99"/>
    <w:semiHidden/>
    <w:unhideWhenUsed/>
    <w:rsid w:val="007C2479"/>
  </w:style>
  <w:style w:type="table" w:customStyle="1" w:styleId="30">
    <w:name w:val="Πλέγμα πίνακα3"/>
    <w:basedOn w:val="TableNormal"/>
    <w:next w:val="TableGrid"/>
    <w:uiPriority w:val="59"/>
    <w:rsid w:val="007C24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Χωρίς λίστα6"/>
    <w:next w:val="NoList"/>
    <w:uiPriority w:val="99"/>
    <w:semiHidden/>
    <w:unhideWhenUsed/>
    <w:rsid w:val="0025008E"/>
  </w:style>
  <w:style w:type="table" w:customStyle="1" w:styleId="40">
    <w:name w:val="Πλέγμα πίνακα4"/>
    <w:basedOn w:val="TableNormal"/>
    <w:next w:val="TableGrid"/>
    <w:uiPriority w:val="59"/>
    <w:rsid w:val="002500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Χωρίς λίστα7"/>
    <w:next w:val="NoList"/>
    <w:uiPriority w:val="99"/>
    <w:semiHidden/>
    <w:unhideWhenUsed/>
    <w:rsid w:val="00317E81"/>
  </w:style>
  <w:style w:type="table" w:customStyle="1" w:styleId="50">
    <w:name w:val="Πλέγμα πίνακα5"/>
    <w:basedOn w:val="TableNormal"/>
    <w:next w:val="TableGrid"/>
    <w:uiPriority w:val="59"/>
    <w:rsid w:val="00317E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">
    <w:name w:val="Χωρίς λίστα8"/>
    <w:next w:val="NoList"/>
    <w:uiPriority w:val="99"/>
    <w:semiHidden/>
    <w:unhideWhenUsed/>
    <w:rsid w:val="00394035"/>
  </w:style>
  <w:style w:type="table" w:customStyle="1" w:styleId="60">
    <w:name w:val="Πλέγμα πίνακα6"/>
    <w:basedOn w:val="TableNormal"/>
    <w:next w:val="TableGrid"/>
    <w:uiPriority w:val="59"/>
    <w:rsid w:val="003940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">
    <w:name w:val="Χωρίς λίστα9"/>
    <w:next w:val="NoList"/>
    <w:uiPriority w:val="99"/>
    <w:semiHidden/>
    <w:unhideWhenUsed/>
    <w:rsid w:val="00D848AC"/>
  </w:style>
  <w:style w:type="table" w:customStyle="1" w:styleId="70">
    <w:name w:val="Πλέγμα πίνακα7"/>
    <w:basedOn w:val="TableNormal"/>
    <w:next w:val="TableGrid"/>
    <w:uiPriority w:val="59"/>
    <w:rsid w:val="00D84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Χωρίς λίστα10"/>
    <w:next w:val="NoList"/>
    <w:uiPriority w:val="99"/>
    <w:semiHidden/>
    <w:unhideWhenUsed/>
    <w:rsid w:val="006044CF"/>
  </w:style>
  <w:style w:type="table" w:customStyle="1" w:styleId="80">
    <w:name w:val="Πλέγμα πίνακα8"/>
    <w:basedOn w:val="TableNormal"/>
    <w:next w:val="TableGrid"/>
    <w:uiPriority w:val="59"/>
    <w:rsid w:val="006044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Χωρίς λίστα11"/>
    <w:next w:val="NoList"/>
    <w:uiPriority w:val="99"/>
    <w:semiHidden/>
    <w:unhideWhenUsed/>
    <w:rsid w:val="00C95296"/>
  </w:style>
  <w:style w:type="character" w:styleId="Strong">
    <w:name w:val="Strong"/>
    <w:basedOn w:val="DefaultParagraphFont"/>
    <w:uiPriority w:val="22"/>
    <w:qFormat/>
    <w:rsid w:val="0017018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529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5296"/>
    <w:rPr>
      <w:rFonts w:ascii="Arial" w:eastAsia="Times New Roman" w:hAnsi="Arial" w:cs="Arial"/>
      <w:vanish/>
      <w:sz w:val="16"/>
      <w:szCs w:val="16"/>
      <w:lang w:eastAsia="el-GR"/>
    </w:rPr>
  </w:style>
  <w:style w:type="table" w:customStyle="1" w:styleId="90">
    <w:name w:val="Πλέγμα πίνακα9"/>
    <w:basedOn w:val="TableNormal"/>
    <w:next w:val="TableGrid"/>
    <w:uiPriority w:val="59"/>
    <w:rsid w:val="00C952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17018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70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018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7018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018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018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edulll.g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teilar.gr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Διάμεσος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C551-1DC9-42FE-9BF2-DBD67CE9350B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813B02AB-374D-492E-9EB1-B2DE5DCB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1305</Words>
  <Characters>8066</Characters>
  <Application>Microsoft Office Word</Application>
  <DocSecurity>0</DocSecurity>
  <Lines>424</Lines>
  <Paragraphs>240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Βασικές Αρχές Λογιστικής</vt:lpstr>
      <vt:lpstr>Βασικές Αρχές Λογιστικής</vt:lpstr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Βασικές Αρχές Λογιστικής</dc:title>
  <dc:creator>chris</dc:creator>
  <cp:lastModifiedBy>chris</cp:lastModifiedBy>
  <cp:revision>14</cp:revision>
  <dcterms:created xsi:type="dcterms:W3CDTF">2016-01-26T09:37:00Z</dcterms:created>
  <dcterms:modified xsi:type="dcterms:W3CDTF">2016-01-26T11:32:00Z</dcterms:modified>
</cp:coreProperties>
</file>