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322" w:rsidRPr="00CB1322" w:rsidRDefault="00CB1322" w:rsidP="00CB1322">
      <w:pPr>
        <w:pStyle w:val="BodyText"/>
        <w:ind w:left="0" w:right="29"/>
        <w:jc w:val="center"/>
        <w:rPr>
          <w:b/>
          <w:sz w:val="24"/>
          <w:szCs w:val="24"/>
        </w:rPr>
      </w:pPr>
      <w:r w:rsidRPr="00CB1322">
        <w:rPr>
          <w:b/>
          <w:sz w:val="24"/>
          <w:szCs w:val="24"/>
        </w:rPr>
        <w:t>ΕΛΛΗΝΙΚΟ ΑΝΟΙΚΤΟ ΠΑΝΕΠΙΣΤΗΜΙΟ</w:t>
      </w:r>
    </w:p>
    <w:p w:rsidR="00514C31" w:rsidRPr="000C079D" w:rsidRDefault="00514C31" w:rsidP="00514C31">
      <w:pPr>
        <w:pStyle w:val="BodyText"/>
        <w:ind w:left="0" w:right="29"/>
        <w:rPr>
          <w:sz w:val="24"/>
          <w:szCs w:val="24"/>
        </w:rPr>
      </w:pPr>
      <w:r w:rsidRPr="000C079D">
        <w:rPr>
          <w:sz w:val="24"/>
          <w:szCs w:val="24"/>
        </w:rPr>
        <w:t>Τα υπόλοιπα των λογαριασμών της εμπορικής επιχείρησης «ΧΤ Α.Ε.» στις 30.03.2005, είχαν ως εξής (τα ποσά σε €):</w:t>
      </w:r>
    </w:p>
    <w:tbl>
      <w:tblPr>
        <w:tblW w:w="9654" w:type="dxa"/>
        <w:tblCellMar>
          <w:left w:w="0" w:type="dxa"/>
          <w:right w:w="0" w:type="dxa"/>
        </w:tblCellMar>
        <w:tblLook w:val="0000"/>
      </w:tblPr>
      <w:tblGrid>
        <w:gridCol w:w="1275"/>
        <w:gridCol w:w="5119"/>
        <w:gridCol w:w="1701"/>
        <w:gridCol w:w="1559"/>
      </w:tblGrid>
      <w:tr w:rsidR="00514C31" w:rsidRPr="000C079D" w:rsidTr="00DE181B">
        <w:trPr>
          <w:trHeight w:val="315"/>
        </w:trPr>
        <w:tc>
          <w:tcPr>
            <w:tcW w:w="1275" w:type="dxa"/>
            <w:tcBorders>
              <w:top w:val="single" w:sz="4" w:space="0" w:color="000000"/>
              <w:left w:val="single" w:sz="4" w:space="0" w:color="000000"/>
              <w:bottom w:val="single" w:sz="4" w:space="0" w:color="000000"/>
              <w:right w:val="single" w:sz="4" w:space="0" w:color="000000"/>
            </w:tcBorders>
            <w:tcMar>
              <w:top w:w="0" w:type="dxa"/>
              <w:left w:w="15" w:type="dxa"/>
              <w:bottom w:w="0" w:type="dxa"/>
              <w:right w:w="15" w:type="dxa"/>
            </w:tcMar>
          </w:tcPr>
          <w:p w:rsidR="00514C31" w:rsidRPr="000C079D" w:rsidRDefault="00514C31" w:rsidP="00DE181B">
            <w:pPr>
              <w:spacing w:after="0"/>
              <w:ind w:right="29"/>
              <w:jc w:val="center"/>
              <w:rPr>
                <w:rFonts w:eastAsia="Arial Unicode MS"/>
                <w:b/>
                <w:bCs/>
                <w:szCs w:val="22"/>
              </w:rPr>
            </w:pPr>
            <w:r w:rsidRPr="000C079D">
              <w:rPr>
                <w:b/>
                <w:bCs/>
                <w:sz w:val="22"/>
                <w:szCs w:val="22"/>
              </w:rPr>
              <w:t>ΚΩΔΙΚΟΣ</w:t>
            </w:r>
          </w:p>
        </w:tc>
        <w:tc>
          <w:tcPr>
            <w:tcW w:w="5119" w:type="dxa"/>
            <w:tcBorders>
              <w:top w:val="single" w:sz="4" w:space="0" w:color="000000"/>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center"/>
              <w:rPr>
                <w:rFonts w:eastAsia="Arial Unicode MS"/>
                <w:b/>
                <w:bCs/>
                <w:szCs w:val="22"/>
              </w:rPr>
            </w:pPr>
            <w:r w:rsidRPr="000C079D">
              <w:rPr>
                <w:b/>
                <w:bCs/>
                <w:sz w:val="22"/>
                <w:szCs w:val="22"/>
              </w:rPr>
              <w:t>ΛΟΓΑΡΙΑΣΜΟΙ</w:t>
            </w:r>
          </w:p>
        </w:tc>
        <w:tc>
          <w:tcPr>
            <w:tcW w:w="1701" w:type="dxa"/>
            <w:tcBorders>
              <w:top w:val="single" w:sz="4" w:space="0" w:color="000000"/>
              <w:left w:val="nil"/>
              <w:bottom w:val="single" w:sz="4" w:space="0" w:color="000000"/>
              <w:right w:val="single" w:sz="4" w:space="0" w:color="000000"/>
            </w:tcBorders>
            <w:tcMar>
              <w:top w:w="0" w:type="dxa"/>
              <w:left w:w="15" w:type="dxa"/>
              <w:bottom w:w="0" w:type="dxa"/>
              <w:right w:w="15" w:type="dxa"/>
            </w:tcMar>
          </w:tcPr>
          <w:p w:rsidR="00514C31" w:rsidRPr="000C079D" w:rsidRDefault="00514C31" w:rsidP="00DE181B">
            <w:pPr>
              <w:spacing w:after="0"/>
              <w:ind w:right="29"/>
              <w:jc w:val="center"/>
              <w:rPr>
                <w:rFonts w:eastAsia="Arial Unicode MS"/>
                <w:b/>
                <w:bCs/>
                <w:szCs w:val="22"/>
              </w:rPr>
            </w:pPr>
            <w:r w:rsidRPr="000C079D">
              <w:rPr>
                <w:b/>
                <w:bCs/>
                <w:sz w:val="22"/>
                <w:szCs w:val="22"/>
              </w:rPr>
              <w:t>ΧΡΕΩΣΗ</w:t>
            </w:r>
          </w:p>
        </w:tc>
        <w:tc>
          <w:tcPr>
            <w:tcW w:w="1559" w:type="dxa"/>
            <w:tcBorders>
              <w:top w:val="single" w:sz="4" w:space="0" w:color="000000"/>
              <w:left w:val="nil"/>
              <w:bottom w:val="single" w:sz="4" w:space="0" w:color="000000"/>
              <w:right w:val="single" w:sz="4" w:space="0" w:color="000000"/>
            </w:tcBorders>
            <w:tcMar>
              <w:top w:w="0" w:type="dxa"/>
              <w:left w:w="15" w:type="dxa"/>
              <w:bottom w:w="0" w:type="dxa"/>
              <w:right w:w="15" w:type="dxa"/>
            </w:tcMar>
          </w:tcPr>
          <w:p w:rsidR="00514C31" w:rsidRPr="000C079D" w:rsidRDefault="00514C31" w:rsidP="00DE181B">
            <w:pPr>
              <w:spacing w:after="0"/>
              <w:ind w:right="29"/>
              <w:jc w:val="center"/>
              <w:rPr>
                <w:rFonts w:eastAsia="Arial Unicode MS"/>
                <w:b/>
                <w:bCs/>
                <w:szCs w:val="22"/>
              </w:rPr>
            </w:pPr>
            <w:r w:rsidRPr="000C079D">
              <w:rPr>
                <w:b/>
                <w:bCs/>
                <w:sz w:val="22"/>
                <w:szCs w:val="22"/>
              </w:rPr>
              <w:t>ΠΙΣΤΩΣΗ</w:t>
            </w:r>
          </w:p>
        </w:tc>
      </w:tr>
      <w:tr w:rsidR="00514C31" w:rsidRPr="000C079D" w:rsidTr="00DE181B">
        <w:trPr>
          <w:trHeight w:val="156"/>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11.00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Κτίρια</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160.000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98"/>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11.99.00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Αποσβεσμένα κτίρια</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58.000</w:t>
            </w:r>
          </w:p>
        </w:tc>
      </w:tr>
      <w:tr w:rsidR="00514C31" w:rsidRPr="000C079D" w:rsidTr="00DE181B">
        <w:trPr>
          <w:trHeight w:val="260"/>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16.01</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 xml:space="preserve">Δικαιώματα βιομηχανικής Ιδιοκτησίας </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90.000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215"/>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16.99.01</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Αποσβεσμένα Δικαιώματα βιομηχανικής Ιδιοκτησίας</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36.000</w:t>
            </w:r>
          </w:p>
        </w:tc>
      </w:tr>
      <w:tr w:rsidR="00514C31" w:rsidRPr="000C079D" w:rsidTr="00DE181B">
        <w:trPr>
          <w:trHeight w:val="144"/>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20.00.00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Αποθέματα</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33.000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234"/>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20.00.01</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Αγορές χρήσης</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48.000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270"/>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30.00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Πελάτες εσωτερικού</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lang w:val="en-US"/>
              </w:rPr>
            </w:pPr>
            <w:r w:rsidRPr="000C079D">
              <w:rPr>
                <w:rFonts w:eastAsia="Arial Unicode MS"/>
                <w:sz w:val="22"/>
                <w:szCs w:val="22"/>
                <w:lang w:val="en-US"/>
              </w:rPr>
              <w:t>66.500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142"/>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31.00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Γραμμάτια στο χαρτοφυλάκιο</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32.500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433"/>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34.00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 xml:space="preserve">Μετοχές εισηγμένες στο χρηματιστήριο εταιριών εσωτερικού </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60.000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78"/>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38.00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Ταμείο</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84.400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116"/>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38.03.00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Καταθέσεις όψεως στην ΑΤΕ</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35.000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140"/>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40.00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Καταβλημένο μετοχικό κεφάλαιο κοινών μετοχών</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301.500</w:t>
            </w:r>
          </w:p>
        </w:tc>
      </w:tr>
      <w:tr w:rsidR="00514C31" w:rsidRPr="000C079D" w:rsidTr="00DE181B">
        <w:trPr>
          <w:trHeight w:val="250"/>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41.02</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Τακτικό αποθεματικό</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20.000</w:t>
            </w:r>
          </w:p>
        </w:tc>
      </w:tr>
      <w:tr w:rsidR="00514C31" w:rsidRPr="000C079D" w:rsidTr="00DE181B">
        <w:trPr>
          <w:trHeight w:val="163"/>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42.00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Υπόλοιπο κερδών εις νέο</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40.000</w:t>
            </w:r>
          </w:p>
        </w:tc>
      </w:tr>
      <w:tr w:rsidR="00514C31" w:rsidRPr="000C079D" w:rsidTr="00DE181B">
        <w:trPr>
          <w:trHeight w:val="214"/>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50.00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Προμηθευτές εσωτερικού</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lang w:val="en-US"/>
              </w:rPr>
            </w:pPr>
            <w:r w:rsidRPr="000C079D">
              <w:rPr>
                <w:sz w:val="22"/>
                <w:szCs w:val="22"/>
              </w:rPr>
              <w:t>28.000</w:t>
            </w:r>
          </w:p>
        </w:tc>
      </w:tr>
      <w:tr w:rsidR="00514C31" w:rsidRPr="000C079D" w:rsidTr="00DE181B">
        <w:trPr>
          <w:trHeight w:val="241"/>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51.00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Γραμμάτια πληρωτέα</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9.500</w:t>
            </w:r>
          </w:p>
        </w:tc>
      </w:tr>
      <w:tr w:rsidR="00514C31" w:rsidRPr="000C079D" w:rsidTr="00DE181B">
        <w:trPr>
          <w:trHeight w:val="257"/>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52.00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ΑΤΕ λογ/σμός βραχυπρόθεσμων υποχρεώσεων</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5.000</w:t>
            </w:r>
          </w:p>
        </w:tc>
      </w:tr>
      <w:tr w:rsidR="00514C31" w:rsidRPr="000C079D" w:rsidTr="00DE181B">
        <w:trPr>
          <w:trHeight w:val="150"/>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62.03.00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Τηλεφωνικά-Τηλεγραφικά</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500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268"/>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62.04.01</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Ενοίκια κτηρίων</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4.400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182"/>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62.98.00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Φωτισμός</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2.950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290"/>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64.02.01</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Διαφημίσεις από το ραδιόφωνο-τηλεόραση</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13.500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341"/>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65.05</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Τόκοι &amp; έξοδα λοιπών βραχυπρόθεσμων τραπεζικών χρηματοδοτήσεων</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150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217"/>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70.00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Πωλήσεις εσωτερικού</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132.600</w:t>
            </w:r>
          </w:p>
        </w:tc>
      </w:tr>
      <w:tr w:rsidR="00514C31" w:rsidRPr="000C079D" w:rsidTr="00DE181B">
        <w:trPr>
          <w:trHeight w:val="214"/>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76.03</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Λοιποί πιστωτικοί τόκοι</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200</w:t>
            </w:r>
          </w:p>
        </w:tc>
      </w:tr>
      <w:tr w:rsidR="00514C31" w:rsidRPr="000C079D" w:rsidTr="00DE181B">
        <w:trPr>
          <w:trHeight w:val="68"/>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76.04.02</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Κέρδη από πώληση χρεογράφων</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300</w:t>
            </w:r>
          </w:p>
        </w:tc>
      </w:tr>
      <w:tr w:rsidR="00514C31" w:rsidRPr="000C079D" w:rsidTr="00DE181B">
        <w:trPr>
          <w:trHeight w:val="175"/>
        </w:trPr>
        <w:tc>
          <w:tcPr>
            <w:tcW w:w="1275" w:type="dxa"/>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rPr>
                <w:rFonts w:eastAsia="Arial Unicode MS"/>
                <w:szCs w:val="22"/>
              </w:rPr>
            </w:pPr>
            <w:r w:rsidRPr="000C079D">
              <w:rPr>
                <w:sz w:val="22"/>
                <w:szCs w:val="22"/>
              </w:rPr>
              <w:t>81.00.00</w:t>
            </w:r>
          </w:p>
        </w:tc>
        <w:tc>
          <w:tcPr>
            <w:tcW w:w="511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left"/>
              <w:rPr>
                <w:rFonts w:eastAsia="Arial Unicode MS"/>
                <w:szCs w:val="22"/>
              </w:rPr>
            </w:pPr>
            <w:r w:rsidRPr="000C079D">
              <w:rPr>
                <w:sz w:val="22"/>
                <w:szCs w:val="22"/>
              </w:rPr>
              <w:t>Φορολογικά πρόστιμα &amp; προσαυξήσεις</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r w:rsidRPr="000C079D">
              <w:rPr>
                <w:sz w:val="22"/>
                <w:szCs w:val="22"/>
              </w:rPr>
              <w:t>200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9"/>
              <w:jc w:val="right"/>
              <w:rPr>
                <w:rFonts w:eastAsia="Arial Unicode MS"/>
                <w:szCs w:val="22"/>
              </w:rPr>
            </w:pPr>
          </w:p>
        </w:tc>
      </w:tr>
      <w:tr w:rsidR="00514C31" w:rsidRPr="000C079D" w:rsidTr="00DE181B">
        <w:trPr>
          <w:trHeight w:val="285"/>
        </w:trPr>
        <w:tc>
          <w:tcPr>
            <w:tcW w:w="6394"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8"/>
              <w:jc w:val="center"/>
              <w:rPr>
                <w:rFonts w:eastAsia="Arial Unicode MS"/>
                <w:b/>
                <w:bCs/>
                <w:szCs w:val="22"/>
              </w:rPr>
            </w:pPr>
            <w:r w:rsidRPr="000C079D">
              <w:rPr>
                <w:b/>
                <w:bCs/>
                <w:sz w:val="22"/>
                <w:szCs w:val="22"/>
              </w:rPr>
              <w:t>ΣΥΝΟΛΑ</w:t>
            </w:r>
          </w:p>
        </w:tc>
        <w:tc>
          <w:tcPr>
            <w:tcW w:w="1701"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8"/>
              <w:jc w:val="right"/>
              <w:rPr>
                <w:rFonts w:eastAsia="Arial Unicode MS"/>
                <w:szCs w:val="22"/>
              </w:rPr>
            </w:pPr>
            <w:r w:rsidRPr="000C079D">
              <w:rPr>
                <w:rFonts w:eastAsia="Arial Unicode MS"/>
                <w:sz w:val="22"/>
                <w:szCs w:val="22"/>
              </w:rPr>
              <w:t>631.100</w:t>
            </w:r>
          </w:p>
        </w:tc>
        <w:tc>
          <w:tcPr>
            <w:tcW w:w="1559" w:type="dxa"/>
            <w:tcBorders>
              <w:top w:val="nil"/>
              <w:left w:val="nil"/>
              <w:bottom w:val="single" w:sz="4" w:space="0" w:color="000000"/>
              <w:right w:val="single" w:sz="4" w:space="0" w:color="000000"/>
            </w:tcBorders>
            <w:tcMar>
              <w:top w:w="15" w:type="dxa"/>
              <w:left w:w="15" w:type="dxa"/>
              <w:bottom w:w="0" w:type="dxa"/>
              <w:right w:w="15" w:type="dxa"/>
            </w:tcMar>
          </w:tcPr>
          <w:p w:rsidR="00514C31" w:rsidRPr="000C079D" w:rsidRDefault="00514C31" w:rsidP="00DE181B">
            <w:pPr>
              <w:spacing w:after="0"/>
              <w:ind w:right="28"/>
              <w:jc w:val="right"/>
              <w:rPr>
                <w:rFonts w:eastAsia="Arial Unicode MS"/>
                <w:szCs w:val="22"/>
              </w:rPr>
            </w:pPr>
            <w:r w:rsidRPr="000C079D">
              <w:rPr>
                <w:rFonts w:eastAsia="Arial Unicode MS"/>
                <w:sz w:val="22"/>
                <w:szCs w:val="22"/>
              </w:rPr>
              <w:t>631.100</w:t>
            </w:r>
          </w:p>
        </w:tc>
      </w:tr>
    </w:tbl>
    <w:p w:rsidR="00514C31" w:rsidRDefault="00514C31" w:rsidP="00514C31">
      <w:pPr>
        <w:spacing w:after="0"/>
        <w:ind w:right="28"/>
        <w:rPr>
          <w:szCs w:val="24"/>
        </w:rPr>
      </w:pPr>
    </w:p>
    <w:p w:rsidR="00514C31" w:rsidRPr="000C079D" w:rsidRDefault="00514C31" w:rsidP="00514C31">
      <w:pPr>
        <w:spacing w:after="0"/>
        <w:ind w:right="28" w:firstLine="720"/>
        <w:rPr>
          <w:szCs w:val="24"/>
        </w:rPr>
      </w:pPr>
      <w:r w:rsidRPr="000C079D">
        <w:rPr>
          <w:szCs w:val="24"/>
        </w:rPr>
        <w:t>Στη συνέχεια, στο υπόλοιπο του έτους, συνέβησαν τα ακόλουθα λογιστικά γεγονότα:</w:t>
      </w:r>
    </w:p>
    <w:p w:rsidR="00514C31" w:rsidRPr="000C079D" w:rsidRDefault="00514C31" w:rsidP="00514C31">
      <w:pPr>
        <w:spacing w:after="0"/>
        <w:ind w:right="28"/>
        <w:rPr>
          <w:szCs w:val="24"/>
        </w:rPr>
      </w:pPr>
      <w:r w:rsidRPr="000C079D">
        <w:rPr>
          <w:szCs w:val="24"/>
        </w:rPr>
        <w:t xml:space="preserve">1. Την 1/5/2005 η επιχείρηση πουλάει εμπορεύματα προς 2.400 €, πλέον ΦΠΑ 19 %. Ο πελάτης αποδέχεται συναλλαγματικές λήξεως την 31/7/2005 για το συνολικό ποσό. Σημειώνεται ότι η  τιμή πώλησης των εμπορευμάτων τοις μετρητοίς είναι 1.900 €. Η επιχείρηση κατά την πάγια πολιτική της προβαίνει σε διαχωρισμό του ποσού των τόκων από το καθαρό έσοδο από την πώληση των εμπορευμάτων. </w:t>
      </w:r>
    </w:p>
    <w:p w:rsidR="00514C31" w:rsidRPr="000C079D" w:rsidRDefault="00514C31" w:rsidP="00514C31">
      <w:pPr>
        <w:spacing w:after="0"/>
        <w:ind w:right="29"/>
        <w:rPr>
          <w:szCs w:val="24"/>
        </w:rPr>
      </w:pPr>
      <w:r w:rsidRPr="000C079D">
        <w:rPr>
          <w:szCs w:val="24"/>
        </w:rPr>
        <w:t>2. Την 2/5/200</w:t>
      </w:r>
      <w:r>
        <w:rPr>
          <w:szCs w:val="24"/>
        </w:rPr>
        <w:t>5</w:t>
      </w:r>
      <w:r w:rsidRPr="000C079D">
        <w:rPr>
          <w:szCs w:val="24"/>
        </w:rPr>
        <w:t xml:space="preserve"> μεταβιβάζει το σύνολο των συναλλαγματικών που αποδέχτηκε ο πελάτης της (γεγονός </w:t>
      </w:r>
      <w:r>
        <w:rPr>
          <w:szCs w:val="24"/>
        </w:rPr>
        <w:t>1</w:t>
      </w:r>
      <w:r w:rsidRPr="000C079D">
        <w:rPr>
          <w:szCs w:val="24"/>
        </w:rPr>
        <w:t xml:space="preserve">) στην ΑΤΕ λόγω ενεχύρου και λαμβάνει βραχυπρόθεσμο δάνειο για το 90 % της ονομαστικής αξία των συναλλαγματικών που μεταβίβασε. Η επιχείρηση το ποσό που εισέπραξε από το δάνειο το κατέθεσε την ίδια ημέρα στο λογαριασμό όψεως που τηρεί στην ΑΤΕ.                                          </w:t>
      </w:r>
    </w:p>
    <w:p w:rsidR="00514C31" w:rsidRPr="000C079D" w:rsidRDefault="00514C31" w:rsidP="00514C31">
      <w:pPr>
        <w:spacing w:after="0"/>
        <w:ind w:right="29"/>
        <w:rPr>
          <w:szCs w:val="24"/>
        </w:rPr>
      </w:pPr>
      <w:r w:rsidRPr="000C079D">
        <w:rPr>
          <w:szCs w:val="24"/>
        </w:rPr>
        <w:lastRenderedPageBreak/>
        <w:t xml:space="preserve">3. Την 5/8/2005 η επιχείρηση ειδοποιείται από την τράπεζα ότι το σύνολο των συναλλαγματικών που είχαν μεταβιβασθεί στην τράπεζα ως ενέχυρο για την χορήγηση δανείου (γεγονός 2) εξοφλήθηκαν κανονικά από του αποδέκτες τους. Η τράπεζα ενημερώνει την επιχείρηση ότι το προϊόν της είσπραξης χρησιμοποιήθηκε για την εξόφληση του δανείου ενώ η επιχείρηση επιβαρύνεται και με τόκους ύψους 115 €, το υπόλοιπο κατετέθη στο λογαριασμό όψεως που τηρεί η επιχείρηση στη τράπεζα.   </w:t>
      </w:r>
    </w:p>
    <w:p w:rsidR="00514C31" w:rsidRPr="000C079D" w:rsidRDefault="00514C31" w:rsidP="00514C31">
      <w:pPr>
        <w:pStyle w:val="BodyText3"/>
        <w:spacing w:after="0"/>
        <w:ind w:right="29"/>
        <w:rPr>
          <w:sz w:val="24"/>
          <w:szCs w:val="24"/>
        </w:rPr>
      </w:pPr>
      <w:r w:rsidRPr="000C079D">
        <w:rPr>
          <w:sz w:val="24"/>
          <w:szCs w:val="24"/>
        </w:rPr>
        <w:t xml:space="preserve">4. Την 15/12/2005 η επιχείρηση  μισθώνει κατάστημα για την περίοδο 15/12/2005-15/1/2006.Το μίσθωμα συμφωνείται στα 1.000 € και καταβάλλεται  τοις μετρητοίς την 15/12/2005. Η επιχείρηση κατά την πάγια πολιτική της διαχωρίζει το ποσό που θα είναι δεδουλευμένο στα τέλος της χρήσεως  από το ποσό το οποίο αφορά την επόμενη χρήση.  </w:t>
      </w:r>
    </w:p>
    <w:p w:rsidR="00514C31" w:rsidRPr="000C079D" w:rsidRDefault="00514C31" w:rsidP="00514C31">
      <w:pPr>
        <w:pStyle w:val="BodyText3"/>
        <w:spacing w:after="0"/>
        <w:ind w:right="29"/>
        <w:rPr>
          <w:sz w:val="24"/>
          <w:szCs w:val="24"/>
        </w:rPr>
      </w:pPr>
      <w:r>
        <w:rPr>
          <w:sz w:val="24"/>
          <w:szCs w:val="24"/>
        </w:rPr>
        <w:t>5</w:t>
      </w:r>
      <w:r w:rsidRPr="000C079D">
        <w:rPr>
          <w:sz w:val="24"/>
          <w:szCs w:val="24"/>
        </w:rPr>
        <w:t>. Την 31/12/2005 εξοφλήθηκε τοις μετρητοίς μισθοδοτική κατάσταση ονομαστικού ποσού € 8.000. Από το ποσό αυτό παρακρατήθηκαν: α. € 200 υπέρ ΙΚΑ, και β.  € 800 Φ.Μ.Υ. Οι εργοδοτικές εισφορές για το ΙΚΑ ανέρχονταν σε € 1.500.</w:t>
      </w:r>
    </w:p>
    <w:p w:rsidR="00514C31" w:rsidRPr="000C079D" w:rsidRDefault="00514C31" w:rsidP="00514C31">
      <w:pPr>
        <w:spacing w:after="0"/>
        <w:ind w:right="29"/>
        <w:rPr>
          <w:rFonts w:cs="Arial"/>
          <w:b/>
          <w:bCs/>
          <w:szCs w:val="24"/>
        </w:rPr>
      </w:pPr>
    </w:p>
    <w:p w:rsidR="00514C31" w:rsidRPr="000C079D" w:rsidRDefault="00514C31" w:rsidP="00514C31">
      <w:pPr>
        <w:spacing w:after="0"/>
        <w:ind w:right="29"/>
        <w:rPr>
          <w:rFonts w:cs="Arial"/>
          <w:b/>
          <w:szCs w:val="24"/>
        </w:rPr>
      </w:pPr>
      <w:r w:rsidRPr="000C079D">
        <w:rPr>
          <w:rFonts w:cs="Arial"/>
          <w:b/>
          <w:bCs/>
          <w:szCs w:val="24"/>
        </w:rPr>
        <w:t>Ζητούνται:</w:t>
      </w:r>
    </w:p>
    <w:p w:rsidR="00514C31" w:rsidRPr="000C079D" w:rsidRDefault="00514C31" w:rsidP="00514C31">
      <w:pPr>
        <w:pStyle w:val="BodyText"/>
        <w:numPr>
          <w:ilvl w:val="0"/>
          <w:numId w:val="1"/>
        </w:numPr>
        <w:spacing w:after="0" w:line="240" w:lineRule="auto"/>
        <w:ind w:right="29"/>
        <w:rPr>
          <w:rFonts w:cs="Arial"/>
          <w:bCs/>
          <w:sz w:val="24"/>
          <w:szCs w:val="24"/>
        </w:rPr>
      </w:pPr>
      <w:r w:rsidRPr="000C079D">
        <w:rPr>
          <w:rFonts w:cs="Arial"/>
          <w:bCs/>
          <w:sz w:val="24"/>
          <w:szCs w:val="24"/>
        </w:rPr>
        <w:t xml:space="preserve">Να γίνουν οι εγγραφές που αφορούν τα παραπάνω γεγονότα </w:t>
      </w:r>
    </w:p>
    <w:p w:rsidR="00514C31" w:rsidRPr="000C079D" w:rsidRDefault="00514C31" w:rsidP="00514C31">
      <w:pPr>
        <w:pStyle w:val="BodyText"/>
        <w:numPr>
          <w:ilvl w:val="0"/>
          <w:numId w:val="1"/>
        </w:numPr>
        <w:spacing w:after="0" w:line="240" w:lineRule="auto"/>
        <w:ind w:right="29"/>
        <w:rPr>
          <w:rFonts w:cs="Arial"/>
          <w:bCs/>
          <w:sz w:val="24"/>
          <w:szCs w:val="24"/>
        </w:rPr>
      </w:pPr>
      <w:r w:rsidRPr="000C079D">
        <w:rPr>
          <w:rFonts w:cs="Arial"/>
          <w:bCs/>
          <w:sz w:val="24"/>
          <w:szCs w:val="24"/>
        </w:rPr>
        <w:t>Να γίνουν οι εγγραφές προσαρμογής, λαμβάνοντας, εκτός των άλλων, υπ' όψιν ότι:</w:t>
      </w:r>
    </w:p>
    <w:p w:rsidR="00514C31" w:rsidRDefault="00514C31" w:rsidP="00514C31">
      <w:pPr>
        <w:pStyle w:val="BodyText"/>
        <w:spacing w:after="0" w:line="240" w:lineRule="auto"/>
        <w:ind w:left="360" w:right="29" w:firstLine="360"/>
        <w:rPr>
          <w:rFonts w:cs="Arial"/>
          <w:bCs/>
          <w:sz w:val="24"/>
          <w:szCs w:val="24"/>
        </w:rPr>
      </w:pPr>
      <w:r>
        <w:rPr>
          <w:rFonts w:cs="Arial"/>
          <w:bCs/>
          <w:sz w:val="24"/>
          <w:szCs w:val="24"/>
        </w:rPr>
        <w:t xml:space="preserve">- </w:t>
      </w:r>
      <w:r w:rsidRPr="000C079D">
        <w:rPr>
          <w:rFonts w:cs="Arial"/>
          <w:bCs/>
          <w:sz w:val="24"/>
          <w:szCs w:val="24"/>
        </w:rPr>
        <w:t>Για τις αποσβέσεις της χρήσης, εφαρμόζεται ενιαίος συντελεστής 20% για όλα  τα υποκείμενα σε απόσβεση στοιχεία ενώ η επιχείρηση χρησιμοποι</w:t>
      </w:r>
      <w:r>
        <w:rPr>
          <w:rFonts w:cs="Arial"/>
          <w:bCs/>
          <w:sz w:val="24"/>
          <w:szCs w:val="24"/>
        </w:rPr>
        <w:t>εί τη σταθερά μέθοδο απόσβεσης.</w:t>
      </w:r>
    </w:p>
    <w:p w:rsidR="00514C31" w:rsidRPr="000C079D" w:rsidRDefault="00514C31" w:rsidP="00514C31">
      <w:pPr>
        <w:pStyle w:val="BodyText"/>
        <w:spacing w:after="0" w:line="240" w:lineRule="auto"/>
        <w:ind w:left="360" w:right="29" w:firstLine="360"/>
        <w:rPr>
          <w:rFonts w:cs="Arial"/>
          <w:bCs/>
          <w:sz w:val="24"/>
          <w:szCs w:val="24"/>
        </w:rPr>
      </w:pPr>
      <w:r>
        <w:rPr>
          <w:rFonts w:cs="Arial"/>
          <w:bCs/>
          <w:sz w:val="24"/>
          <w:szCs w:val="24"/>
        </w:rPr>
        <w:t xml:space="preserve">- </w:t>
      </w:r>
      <w:r w:rsidRPr="000C079D">
        <w:rPr>
          <w:rFonts w:cs="Arial"/>
          <w:bCs/>
          <w:sz w:val="24"/>
          <w:szCs w:val="24"/>
        </w:rPr>
        <w:t xml:space="preserve">Η τρέχουσα αξία των μετοχών είναι 69.000 €. Σημειώνεται ότι τα χρεόγραφα αποτιμούνται στην μικρότερη μεταξύ της τρέχουσας αξίας και της αξία κτήσεως   </w:t>
      </w:r>
    </w:p>
    <w:p w:rsidR="00514C31" w:rsidRPr="000C079D" w:rsidRDefault="00514C31" w:rsidP="00514C31">
      <w:pPr>
        <w:numPr>
          <w:ilvl w:val="0"/>
          <w:numId w:val="1"/>
        </w:numPr>
        <w:spacing w:after="0"/>
        <w:ind w:right="29"/>
        <w:rPr>
          <w:rFonts w:cs="Arial"/>
          <w:szCs w:val="24"/>
        </w:rPr>
      </w:pPr>
      <w:r w:rsidRPr="000C079D">
        <w:rPr>
          <w:rFonts w:cs="Arial"/>
          <w:szCs w:val="24"/>
        </w:rPr>
        <w:t xml:space="preserve">Να καταρτιστεί το προσαρμοσμένο ισοζύγιο υπολοίπων. </w:t>
      </w:r>
    </w:p>
    <w:p w:rsidR="00514C31" w:rsidRPr="000C079D" w:rsidRDefault="00514C31" w:rsidP="00514C31">
      <w:pPr>
        <w:numPr>
          <w:ilvl w:val="0"/>
          <w:numId w:val="1"/>
        </w:numPr>
        <w:spacing w:after="0"/>
        <w:ind w:right="29"/>
        <w:rPr>
          <w:rFonts w:cs="Arial"/>
          <w:szCs w:val="24"/>
        </w:rPr>
      </w:pPr>
      <w:r w:rsidRPr="000C079D">
        <w:rPr>
          <w:rFonts w:cs="Arial"/>
          <w:szCs w:val="24"/>
        </w:rPr>
        <w:t>Να συνταχθεί πίνακας μερισμού των εξόδων της χρήσης, θεωρώντας ότι από τα κοινά προς μερισμό έξοδα:</w:t>
      </w:r>
    </w:p>
    <w:p w:rsidR="00514C31" w:rsidRPr="000C079D" w:rsidRDefault="00514C31" w:rsidP="00514C31">
      <w:pPr>
        <w:spacing w:after="0"/>
        <w:ind w:right="29" w:firstLine="720"/>
        <w:rPr>
          <w:rFonts w:cs="Arial"/>
          <w:szCs w:val="24"/>
        </w:rPr>
      </w:pPr>
      <w:r w:rsidRPr="000C079D">
        <w:rPr>
          <w:rFonts w:cs="Arial"/>
          <w:szCs w:val="24"/>
        </w:rPr>
        <w:t>α) η λειτουργία της διοίκησης απορροφά το 70% αυτών.</w:t>
      </w:r>
    </w:p>
    <w:p w:rsidR="00514C31" w:rsidRPr="000C079D" w:rsidRDefault="00514C31" w:rsidP="00514C31">
      <w:pPr>
        <w:spacing w:after="0"/>
        <w:ind w:right="29" w:firstLine="720"/>
        <w:rPr>
          <w:rFonts w:cs="Arial"/>
          <w:szCs w:val="24"/>
        </w:rPr>
      </w:pPr>
      <w:r w:rsidRPr="000C079D">
        <w:rPr>
          <w:rFonts w:cs="Arial"/>
          <w:szCs w:val="24"/>
        </w:rPr>
        <w:t>β) η λειτουργία διάθεσης απορροφά το 30% αυτών.</w:t>
      </w:r>
    </w:p>
    <w:p w:rsidR="00514C31" w:rsidRPr="000C079D" w:rsidRDefault="00514C31" w:rsidP="00514C31">
      <w:pPr>
        <w:spacing w:after="0"/>
        <w:ind w:left="720" w:right="29"/>
        <w:rPr>
          <w:rFonts w:cs="Arial"/>
          <w:szCs w:val="24"/>
        </w:rPr>
      </w:pPr>
      <w:r w:rsidRPr="000C079D">
        <w:rPr>
          <w:rFonts w:cs="Arial"/>
          <w:szCs w:val="24"/>
        </w:rPr>
        <w:t>γ) τα έξοδα που συνδέονται άμεσα με τη Χρηματοδοτικήδραστηριότητα, επιβαρύνουν αποκλειστικά αυτή.</w:t>
      </w:r>
    </w:p>
    <w:p w:rsidR="00514C31" w:rsidRPr="000C079D" w:rsidRDefault="00514C31" w:rsidP="00514C31">
      <w:pPr>
        <w:spacing w:after="0"/>
        <w:ind w:left="720" w:right="29"/>
        <w:rPr>
          <w:rFonts w:cs="Arial"/>
          <w:szCs w:val="24"/>
        </w:rPr>
      </w:pPr>
      <w:r w:rsidRPr="000C079D">
        <w:rPr>
          <w:rFonts w:cs="Arial"/>
          <w:szCs w:val="24"/>
        </w:rPr>
        <w:t>δ) Τα έξοδα προβολής και διαφήμισης, επιβαρύνουν αποκλειστικά τη λειτουργία της διάθεσης.</w:t>
      </w:r>
    </w:p>
    <w:p w:rsidR="00514C31" w:rsidRPr="000C079D" w:rsidRDefault="00514C31" w:rsidP="00514C31">
      <w:pPr>
        <w:numPr>
          <w:ilvl w:val="0"/>
          <w:numId w:val="1"/>
        </w:numPr>
        <w:spacing w:after="0"/>
        <w:ind w:right="29"/>
        <w:rPr>
          <w:rFonts w:cs="Arial"/>
          <w:szCs w:val="24"/>
        </w:rPr>
      </w:pPr>
      <w:r w:rsidRPr="000C079D">
        <w:rPr>
          <w:rFonts w:cs="Arial"/>
          <w:szCs w:val="24"/>
        </w:rPr>
        <w:t>Να καταρτίσετε την Κατάσταση του Λογαριασμού Αποτελεσμάτων Χρήσης.</w:t>
      </w:r>
    </w:p>
    <w:p w:rsidR="00514C31" w:rsidRPr="000C079D" w:rsidRDefault="00514C31" w:rsidP="00514C31">
      <w:pPr>
        <w:numPr>
          <w:ilvl w:val="0"/>
          <w:numId w:val="1"/>
        </w:numPr>
        <w:spacing w:after="0"/>
        <w:ind w:right="29"/>
        <w:rPr>
          <w:rFonts w:cs="Arial"/>
          <w:szCs w:val="24"/>
        </w:rPr>
      </w:pPr>
      <w:r w:rsidRPr="000C079D">
        <w:rPr>
          <w:rFonts w:cs="Arial"/>
          <w:szCs w:val="24"/>
        </w:rPr>
        <w:t>Να καταρτίσετε τον Πίνακα Διάθεσης Α</w:t>
      </w:r>
      <w:r w:rsidR="001A5B74">
        <w:rPr>
          <w:rFonts w:cs="Arial"/>
          <w:szCs w:val="24"/>
        </w:rPr>
        <w:t>ποτελεσμάτων</w:t>
      </w:r>
      <w:r w:rsidRPr="000C079D">
        <w:rPr>
          <w:rFonts w:cs="Arial"/>
          <w:szCs w:val="24"/>
        </w:rPr>
        <w:t>, έχοντας υπ' όψιν ότι τα αποτελέσματα της χρήσης διανέμονται ως εξής:</w:t>
      </w:r>
    </w:p>
    <w:p w:rsidR="00514C31" w:rsidRPr="000C079D" w:rsidRDefault="00514C31" w:rsidP="00514C31">
      <w:pPr>
        <w:spacing w:after="0"/>
        <w:ind w:right="29" w:firstLine="720"/>
        <w:rPr>
          <w:rFonts w:cs="Arial"/>
          <w:szCs w:val="24"/>
        </w:rPr>
      </w:pPr>
      <w:r w:rsidRPr="000C079D">
        <w:rPr>
          <w:rFonts w:cs="Arial"/>
          <w:szCs w:val="24"/>
        </w:rPr>
        <w:t xml:space="preserve">α) για φόρο εισοδήματος της εταιρείας που υπολογίζεται με ποσοστό 35%. </w:t>
      </w:r>
    </w:p>
    <w:p w:rsidR="00514C31" w:rsidRPr="000C079D" w:rsidRDefault="00514C31" w:rsidP="00514C31">
      <w:pPr>
        <w:spacing w:after="0"/>
        <w:ind w:left="720" w:right="29"/>
        <w:rPr>
          <w:rFonts w:cs="Arial"/>
          <w:szCs w:val="24"/>
        </w:rPr>
      </w:pPr>
      <w:r w:rsidRPr="000C079D">
        <w:rPr>
          <w:rFonts w:cs="Arial"/>
          <w:szCs w:val="24"/>
        </w:rPr>
        <w:t>β) για σχηματισμό τακτικού αποθεματικού 5% των κερδών. Ο υπολογισμός του τακτικού αποθεματικού γίνεται επί των λογιστικών κερδών της χρήσης, μετά την αφαίρεση του φόρου εισοδήματος που αναλογεί, εφ' όσον τα κέρδη επαρκούν για την πληρωμή των φόρων.</w:t>
      </w:r>
    </w:p>
    <w:p w:rsidR="00514C31" w:rsidRPr="000C079D" w:rsidRDefault="00514C31" w:rsidP="00514C31">
      <w:pPr>
        <w:spacing w:after="0"/>
        <w:ind w:left="720" w:right="29"/>
        <w:rPr>
          <w:rFonts w:cs="Arial"/>
          <w:szCs w:val="24"/>
        </w:rPr>
      </w:pPr>
      <w:r w:rsidRPr="000C079D">
        <w:rPr>
          <w:rFonts w:cs="Arial"/>
          <w:szCs w:val="24"/>
        </w:rPr>
        <w:t>γ)  ποσοστό 35%  των καθαρών κερδών, μετά την αφαίρεση του φόρου εισοδήματος και του τακτικού αποθεματικού, διατίθεται για καταβολή μερίσματος.</w:t>
      </w:r>
    </w:p>
    <w:p w:rsidR="00514C31" w:rsidRPr="000C079D" w:rsidRDefault="00514C31" w:rsidP="00514C31">
      <w:pPr>
        <w:spacing w:after="0"/>
        <w:ind w:right="29" w:firstLine="720"/>
        <w:rPr>
          <w:rFonts w:cs="Arial"/>
          <w:szCs w:val="24"/>
        </w:rPr>
      </w:pPr>
      <w:r w:rsidRPr="000C079D">
        <w:rPr>
          <w:rFonts w:cs="Arial"/>
          <w:szCs w:val="24"/>
        </w:rPr>
        <w:t>δ) τυχόν υπόλοιπο, παραμένει ως υπόλοιπο κερδών εις νέο.</w:t>
      </w:r>
    </w:p>
    <w:p w:rsidR="00514C31" w:rsidRPr="000C079D" w:rsidRDefault="00514C31" w:rsidP="00514C31">
      <w:pPr>
        <w:spacing w:after="0"/>
        <w:ind w:left="360" w:right="29" w:firstLine="360"/>
        <w:rPr>
          <w:rFonts w:cs="Arial"/>
          <w:szCs w:val="24"/>
        </w:rPr>
      </w:pPr>
      <w:r w:rsidRPr="000C079D">
        <w:rPr>
          <w:rFonts w:cs="Arial"/>
          <w:szCs w:val="24"/>
        </w:rPr>
        <w:t xml:space="preserve">ε) Στην περίπτωση που το αποτέλεσμα της χρήσεως είναι ζημία, το ποσό αυτό μεταφέρεται σε επόμενες χρήσεις για συμψηφισμό με μελλοντικά κέρδη, αφού </w:t>
      </w:r>
      <w:r w:rsidRPr="000C079D">
        <w:rPr>
          <w:rFonts w:cs="Arial"/>
          <w:szCs w:val="24"/>
        </w:rPr>
        <w:lastRenderedPageBreak/>
        <w:t>προηγουμένως γίνει συμψηφισμός με τυχόν υπάρχον πιστωτικό υπόλοιπο του λογαριασμού 42.00 "Υπόλοιπο κερδών εις νέο".</w:t>
      </w:r>
    </w:p>
    <w:p w:rsidR="00514C31" w:rsidRPr="000C079D" w:rsidRDefault="00514C31" w:rsidP="00514C31">
      <w:pPr>
        <w:numPr>
          <w:ilvl w:val="0"/>
          <w:numId w:val="1"/>
        </w:numPr>
        <w:spacing w:after="0"/>
        <w:ind w:right="29"/>
        <w:rPr>
          <w:rFonts w:cs="Arial"/>
          <w:szCs w:val="24"/>
        </w:rPr>
      </w:pPr>
      <w:r w:rsidRPr="000C079D">
        <w:rPr>
          <w:rFonts w:cs="Arial"/>
          <w:szCs w:val="24"/>
        </w:rPr>
        <w:t>Να καταρτίσετε τον  Ισολογισμό της χρήσης.</w:t>
      </w:r>
    </w:p>
    <w:p w:rsidR="00514C31" w:rsidRDefault="00514C31" w:rsidP="00514C31">
      <w:pPr>
        <w:spacing w:after="0"/>
        <w:ind w:right="29"/>
        <w:rPr>
          <w:rFonts w:cs="Arial"/>
          <w:b/>
          <w:szCs w:val="24"/>
        </w:rPr>
      </w:pPr>
    </w:p>
    <w:p w:rsidR="00514C31" w:rsidRPr="000C079D" w:rsidRDefault="00514C31" w:rsidP="00514C31">
      <w:pPr>
        <w:spacing w:after="0"/>
        <w:ind w:right="29"/>
        <w:rPr>
          <w:rFonts w:cs="Arial"/>
          <w:b/>
          <w:szCs w:val="24"/>
        </w:rPr>
      </w:pPr>
      <w:r w:rsidRPr="000C079D">
        <w:rPr>
          <w:rFonts w:cs="Arial"/>
          <w:b/>
          <w:szCs w:val="24"/>
        </w:rPr>
        <w:t>Σημειώσεις</w:t>
      </w:r>
    </w:p>
    <w:p w:rsidR="00514C31" w:rsidRPr="000C079D" w:rsidRDefault="00514C31" w:rsidP="00514C31">
      <w:pPr>
        <w:numPr>
          <w:ilvl w:val="0"/>
          <w:numId w:val="2"/>
        </w:numPr>
        <w:spacing w:after="0"/>
        <w:ind w:left="0" w:right="29" w:firstLine="0"/>
        <w:rPr>
          <w:rFonts w:cs="Arial"/>
          <w:szCs w:val="24"/>
        </w:rPr>
      </w:pPr>
      <w:r w:rsidRPr="000C079D">
        <w:rPr>
          <w:rFonts w:cs="Arial"/>
          <w:szCs w:val="24"/>
        </w:rPr>
        <w:t>Για τις ανάγκες της εργασίας αυτής, το κόστος πωληθέντων θα προσδιοριστεί εξωλογιστικά, με βάση τα σχετικά στοιχεία. Συνεπώς, δεν  θα πρέπει να γίνουν οι προβλεπόμενες από το Ε.Γ.Λ.Σ. λογιστικές εγγραφές στην ομάδα 8. Τέλος, θεωρείστε ότι το απόθεμα τέλους των εμπορευμάτων ανέρχεται σε € 50.000.</w:t>
      </w:r>
    </w:p>
    <w:p w:rsidR="00514C31" w:rsidRPr="000C079D" w:rsidRDefault="00514C31" w:rsidP="00514C31">
      <w:pPr>
        <w:numPr>
          <w:ilvl w:val="0"/>
          <w:numId w:val="2"/>
        </w:numPr>
        <w:spacing w:after="0"/>
        <w:ind w:left="0" w:right="29" w:firstLine="0"/>
        <w:rPr>
          <w:rFonts w:cs="Arial"/>
          <w:szCs w:val="24"/>
        </w:rPr>
      </w:pPr>
      <w:r w:rsidRPr="000C079D">
        <w:rPr>
          <w:rFonts w:cs="Arial"/>
          <w:szCs w:val="24"/>
        </w:rPr>
        <w:t>Όλες οι παραπάνω λογιστικές καταστάσεις να καταρτισθούν σύμφωνα με τα σχετικά υποδείγματα του Ε.Γ.Λ.Σ.</w:t>
      </w:r>
    </w:p>
    <w:p w:rsidR="00651E0A" w:rsidRPr="001A5B74" w:rsidRDefault="00514C31" w:rsidP="001A5B74">
      <w:pPr>
        <w:numPr>
          <w:ilvl w:val="0"/>
          <w:numId w:val="2"/>
        </w:numPr>
        <w:spacing w:after="0"/>
        <w:ind w:left="0" w:right="29" w:firstLine="0"/>
        <w:rPr>
          <w:rFonts w:cs="Arial"/>
          <w:szCs w:val="24"/>
        </w:rPr>
      </w:pPr>
      <w:r w:rsidRPr="000C079D">
        <w:rPr>
          <w:rFonts w:cs="Arial"/>
          <w:szCs w:val="24"/>
        </w:rPr>
        <w:t>Θεωρείστε ότι το λογιστικό αποτέλεσμα ισούται με το φορολογικό, και συνεπώς δεν απαιτείται φορολογική αναμόρφωση του αποτελέσματος.</w:t>
      </w:r>
      <w:bookmarkStart w:id="0" w:name="_GoBack"/>
      <w:bookmarkEnd w:id="0"/>
    </w:p>
    <w:sectPr w:rsidR="00651E0A" w:rsidRPr="001A5B74" w:rsidSect="0038247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590650"/>
    <w:multiLevelType w:val="hybridMultilevel"/>
    <w:tmpl w:val="1AF6B8FC"/>
    <w:lvl w:ilvl="0" w:tplc="0409000F">
      <w:start w:val="1"/>
      <w:numFmt w:val="decimal"/>
      <w:lvlText w:val="%1."/>
      <w:lvlJc w:val="left"/>
      <w:pPr>
        <w:tabs>
          <w:tab w:val="num" w:pos="720"/>
        </w:tabs>
        <w:ind w:left="720" w:hanging="360"/>
      </w:pPr>
    </w:lvl>
    <w:lvl w:ilvl="1" w:tplc="38404926">
      <w:start w:val="1"/>
      <w:numFmt w:val="decimal"/>
      <w:lvlText w:val="%2."/>
      <w:lvlJc w:val="left"/>
      <w:pPr>
        <w:tabs>
          <w:tab w:val="num" w:pos="1080"/>
        </w:tabs>
        <w:ind w:left="357" w:firstLine="363"/>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AEC3D88"/>
    <w:multiLevelType w:val="hybridMultilevel"/>
    <w:tmpl w:val="B768A426"/>
    <w:lvl w:ilvl="0" w:tplc="0C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defaultTabStop w:val="720"/>
  <w:characterSpacingControl w:val="doNotCompress"/>
  <w:compat/>
  <w:rsids>
    <w:rsidRoot w:val="0096007B"/>
    <w:rsid w:val="0002123D"/>
    <w:rsid w:val="00106574"/>
    <w:rsid w:val="00166CDD"/>
    <w:rsid w:val="001A5B74"/>
    <w:rsid w:val="00270E3B"/>
    <w:rsid w:val="002B6794"/>
    <w:rsid w:val="0038247A"/>
    <w:rsid w:val="00514C31"/>
    <w:rsid w:val="00651E0A"/>
    <w:rsid w:val="009348F4"/>
    <w:rsid w:val="0096007B"/>
    <w:rsid w:val="00CB1322"/>
    <w:rsid w:val="00F809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07B"/>
    <w:pPr>
      <w:spacing w:after="240" w:line="240" w:lineRule="auto"/>
      <w:jc w:val="both"/>
    </w:pPr>
    <w:rPr>
      <w:rFonts w:ascii="Times New Roman" w:eastAsia="Times New Roman" w:hAnsi="Times New Roman" w:cs="Times New Roman"/>
      <w:sz w:val="24"/>
      <w:szCs w:val="20"/>
      <w:lang w:eastAsia="el-GR"/>
    </w:rPr>
  </w:style>
  <w:style w:type="paragraph" w:styleId="Heading1">
    <w:name w:val="heading 1"/>
    <w:basedOn w:val="Normal"/>
    <w:next w:val="Normal"/>
    <w:link w:val="Heading1Char"/>
    <w:qFormat/>
    <w:rsid w:val="0096007B"/>
    <w:pPr>
      <w:keepNext/>
      <w:spacing w:before="480" w:after="480"/>
      <w:jc w:val="center"/>
      <w:outlineLvl w:val="0"/>
    </w:pPr>
    <w:rPr>
      <w:rFonts w:ascii="Arial" w:hAnsi="Arial"/>
      <w:b/>
      <w:kern w:val="28"/>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007B"/>
    <w:rPr>
      <w:rFonts w:ascii="Arial" w:eastAsia="Times New Roman" w:hAnsi="Arial" w:cs="Times New Roman"/>
      <w:b/>
      <w:kern w:val="28"/>
      <w:sz w:val="32"/>
      <w:szCs w:val="20"/>
      <w:lang w:eastAsia="el-GR"/>
    </w:rPr>
  </w:style>
  <w:style w:type="paragraph" w:customStyle="1" w:styleId="font0">
    <w:name w:val="font0"/>
    <w:basedOn w:val="Normal"/>
    <w:rsid w:val="0002123D"/>
    <w:pPr>
      <w:spacing w:before="100" w:beforeAutospacing="1" w:after="100" w:afterAutospacing="1"/>
      <w:jc w:val="left"/>
    </w:pPr>
    <w:rPr>
      <w:rFonts w:ascii="Arial" w:eastAsia="Arial Unicode MS" w:hAnsi="Arial" w:cs="Arial Unicode MS"/>
      <w:sz w:val="20"/>
    </w:rPr>
  </w:style>
  <w:style w:type="paragraph" w:styleId="BodyText">
    <w:name w:val="Body Text"/>
    <w:basedOn w:val="Normal"/>
    <w:link w:val="BodyTextChar"/>
    <w:rsid w:val="00514C31"/>
    <w:pPr>
      <w:spacing w:after="220" w:line="220" w:lineRule="atLeast"/>
      <w:ind w:left="840" w:right="-360"/>
    </w:pPr>
    <w:rPr>
      <w:sz w:val="20"/>
    </w:rPr>
  </w:style>
  <w:style w:type="character" w:customStyle="1" w:styleId="BodyTextChar">
    <w:name w:val="Body Text Char"/>
    <w:basedOn w:val="DefaultParagraphFont"/>
    <w:link w:val="BodyText"/>
    <w:rsid w:val="00514C31"/>
    <w:rPr>
      <w:rFonts w:ascii="Times New Roman" w:eastAsia="Times New Roman" w:hAnsi="Times New Roman" w:cs="Times New Roman"/>
      <w:sz w:val="20"/>
      <w:szCs w:val="20"/>
      <w:lang w:eastAsia="el-GR"/>
    </w:rPr>
  </w:style>
  <w:style w:type="paragraph" w:styleId="BodyText3">
    <w:name w:val="Body Text 3"/>
    <w:basedOn w:val="Normal"/>
    <w:link w:val="BodyText3Char"/>
    <w:rsid w:val="00514C31"/>
    <w:rPr>
      <w:sz w:val="22"/>
    </w:rPr>
  </w:style>
  <w:style w:type="character" w:customStyle="1" w:styleId="BodyText3Char">
    <w:name w:val="Body Text 3 Char"/>
    <w:basedOn w:val="DefaultParagraphFont"/>
    <w:link w:val="BodyText3"/>
    <w:rsid w:val="00514C31"/>
    <w:rPr>
      <w:rFonts w:ascii="Times New Roman" w:eastAsia="Times New Roman" w:hAnsi="Times New Roman" w:cs="Times New Roman"/>
      <w:szCs w:val="20"/>
      <w:lang w:eastAsia="el-GR"/>
    </w:rPr>
  </w:style>
  <w:style w:type="paragraph" w:styleId="Footer">
    <w:name w:val="footer"/>
    <w:basedOn w:val="Normal"/>
    <w:link w:val="FooterChar"/>
    <w:rsid w:val="00651E0A"/>
    <w:pPr>
      <w:tabs>
        <w:tab w:val="center" w:pos="4153"/>
        <w:tab w:val="right" w:pos="8306"/>
      </w:tabs>
    </w:pPr>
  </w:style>
  <w:style w:type="character" w:customStyle="1" w:styleId="FooterChar">
    <w:name w:val="Footer Char"/>
    <w:basedOn w:val="DefaultParagraphFont"/>
    <w:link w:val="Footer"/>
    <w:rsid w:val="00651E0A"/>
    <w:rPr>
      <w:rFonts w:ascii="Times New Roman" w:eastAsia="Times New Roman" w:hAnsi="Times New Roman" w:cs="Times New Roman"/>
      <w:sz w:val="24"/>
      <w:szCs w:val="20"/>
      <w:lang w:eastAsia="el-GR"/>
    </w:rPr>
  </w:style>
  <w:style w:type="table" w:styleId="TableGrid">
    <w:name w:val="Table Grid"/>
    <w:basedOn w:val="TableNormal"/>
    <w:rsid w:val="00651E0A"/>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881</Words>
  <Characters>4763</Characters>
  <Application>Microsoft Office Word</Application>
  <DocSecurity>0</DocSecurity>
  <Lines>39</Lines>
  <Paragraphs>11</Paragraphs>
  <ScaleCrop>false</ScaleCrop>
  <Company/>
  <LinksUpToDate>false</LinksUpToDate>
  <CharactersWithSpaces>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dc:creator>
  <cp:keywords/>
  <dc:description/>
  <cp:lastModifiedBy>george</cp:lastModifiedBy>
  <cp:revision>9</cp:revision>
  <dcterms:created xsi:type="dcterms:W3CDTF">2010-04-15T11:47:00Z</dcterms:created>
  <dcterms:modified xsi:type="dcterms:W3CDTF">2016-11-20T01:21:00Z</dcterms:modified>
</cp:coreProperties>
</file>