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290591" w:rsidRDefault="007D3DBF" w:rsidP="009023FE">
      <w:pPr>
        <w:spacing w:after="1440"/>
        <w:ind w:firstLine="0"/>
        <w:rPr>
          <w:rFonts w:eastAsia="Calibri" w:cs="Arial"/>
          <w:szCs w:val="22"/>
          <w:lang w:eastAsia="en-US"/>
        </w:rPr>
      </w:pPr>
    </w:p>
    <w:p w:rsidR="007D3DBF" w:rsidRPr="00290591" w:rsidRDefault="007D3DBF" w:rsidP="007D3DBF">
      <w:pPr>
        <w:pBdr>
          <w:bottom w:val="single" w:sz="24" w:space="1" w:color="auto"/>
        </w:pBdr>
        <w:tabs>
          <w:tab w:val="left" w:pos="6660"/>
        </w:tabs>
        <w:spacing w:after="200" w:line="276" w:lineRule="auto"/>
        <w:rPr>
          <w:rFonts w:eastAsia="Calibri" w:cs="Arial"/>
          <w:sz w:val="48"/>
          <w:szCs w:val="22"/>
          <w:lang w:eastAsia="en-US"/>
        </w:rPr>
      </w:pPr>
      <w:r w:rsidRPr="00290591">
        <w:rPr>
          <w:rFonts w:eastAsia="Calibri" w:cs="Arial"/>
          <w:noProof/>
          <w:sz w:val="180"/>
          <w:szCs w:val="22"/>
        </w:rPr>
        <w:drawing>
          <wp:inline distT="0" distB="0" distL="0" distR="0" wp14:anchorId="3F647DD4" wp14:editId="0D3BFABF">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290591" w:rsidRDefault="007D3DBF" w:rsidP="007D3DBF">
      <w:pPr>
        <w:pBdr>
          <w:bottom w:val="single" w:sz="24" w:space="1" w:color="auto"/>
        </w:pBdr>
        <w:tabs>
          <w:tab w:val="left" w:pos="6660"/>
        </w:tabs>
        <w:spacing w:after="200" w:line="276" w:lineRule="auto"/>
        <w:rPr>
          <w:rFonts w:eastAsia="Calibri" w:cs="Arial"/>
          <w:sz w:val="20"/>
          <w:szCs w:val="22"/>
          <w:lang w:eastAsia="en-US"/>
        </w:rPr>
      </w:pPr>
    </w:p>
    <w:p w:rsidR="007D3DBF" w:rsidRPr="00290591" w:rsidRDefault="007D3DBF" w:rsidP="007D3DBF">
      <w:pPr>
        <w:spacing w:after="600" w:line="276" w:lineRule="auto"/>
        <w:rPr>
          <w:rFonts w:eastAsia="Calibri" w:cs="Arial"/>
          <w:szCs w:val="22"/>
          <w:lang w:eastAsia="en-US"/>
        </w:rPr>
      </w:pPr>
    </w:p>
    <w:p w:rsidR="00016678" w:rsidRPr="00290591" w:rsidRDefault="00016678" w:rsidP="0070010D">
      <w:pPr>
        <w:rPr>
          <w:rFonts w:eastAsiaTheme="majorEastAsia" w:cstheme="majorBidi"/>
          <w:b/>
          <w:spacing w:val="5"/>
          <w:kern w:val="28"/>
          <w:sz w:val="36"/>
          <w:szCs w:val="52"/>
        </w:rPr>
      </w:pPr>
      <w:proofErr w:type="spellStart"/>
      <w:r w:rsidRPr="00290591">
        <w:rPr>
          <w:rFonts w:eastAsiaTheme="majorEastAsia" w:cstheme="majorBidi"/>
          <w:b/>
          <w:spacing w:val="5"/>
          <w:kern w:val="28"/>
          <w:sz w:val="36"/>
          <w:szCs w:val="52"/>
        </w:rPr>
        <w:t>Χρημοτοοικονομική</w:t>
      </w:r>
      <w:proofErr w:type="spellEnd"/>
      <w:r w:rsidRPr="00290591">
        <w:rPr>
          <w:rFonts w:eastAsiaTheme="majorEastAsia" w:cstheme="majorBidi"/>
          <w:b/>
          <w:spacing w:val="5"/>
          <w:kern w:val="28"/>
          <w:sz w:val="36"/>
          <w:szCs w:val="52"/>
        </w:rPr>
        <w:t xml:space="preserve"> Λογιστική</w:t>
      </w:r>
    </w:p>
    <w:p w:rsidR="007D3DBF" w:rsidRPr="00290591" w:rsidRDefault="009F2FC3" w:rsidP="0070010D">
      <w:pPr>
        <w:rPr>
          <w:rFonts w:eastAsia="Calibri"/>
        </w:rPr>
      </w:pPr>
      <w:r w:rsidRPr="00290591">
        <w:rPr>
          <w:rFonts w:eastAsia="Calibri"/>
          <w:b/>
        </w:rPr>
        <w:t xml:space="preserve">Ενότητα </w:t>
      </w:r>
      <w:r w:rsidR="00016678" w:rsidRPr="00290591">
        <w:rPr>
          <w:rFonts w:eastAsia="Calibri"/>
          <w:b/>
        </w:rPr>
        <w:t>1</w:t>
      </w:r>
      <w:r w:rsidR="007D3DBF" w:rsidRPr="00290591">
        <w:rPr>
          <w:rFonts w:eastAsia="Calibri"/>
          <w:b/>
        </w:rPr>
        <w:t>:</w:t>
      </w:r>
      <w:r w:rsidR="007D3DBF" w:rsidRPr="00290591">
        <w:rPr>
          <w:rFonts w:eastAsia="Calibri"/>
          <w:lang w:eastAsia="en-US"/>
        </w:rPr>
        <w:t xml:space="preserve"> </w:t>
      </w:r>
      <w:r w:rsidR="00290591" w:rsidRPr="00290591">
        <w:rPr>
          <w:rFonts w:eastAsia="Calibri"/>
          <w:lang w:eastAsia="en-US"/>
        </w:rPr>
        <w:t>Βασικές Αρχές Λογιστικής</w:t>
      </w:r>
    </w:p>
    <w:p w:rsidR="007D3DBF" w:rsidRPr="00290591" w:rsidRDefault="00B60AE4" w:rsidP="0070010D">
      <w:pPr>
        <w:rPr>
          <w:rFonts w:eastAsia="Calibri"/>
          <w:lang w:eastAsia="en-US"/>
        </w:rPr>
      </w:pPr>
      <w:bookmarkStart w:id="0" w:name="_GoBack"/>
      <w:r>
        <w:rPr>
          <w:rFonts w:eastAsia="Calibri"/>
          <w:lang w:eastAsia="en-US"/>
        </w:rPr>
        <w:t>Παπαγεωργίου Γεώργιος</w:t>
      </w:r>
      <w:r w:rsidR="00FB7626">
        <w:rPr>
          <w:rFonts w:eastAsia="Calibri"/>
          <w:lang w:eastAsia="en-US"/>
        </w:rPr>
        <w:t xml:space="preserve">, </w:t>
      </w:r>
      <w:r w:rsidR="00630BD8">
        <w:rPr>
          <w:rFonts w:eastAsia="Calibri"/>
          <w:lang w:eastAsia="en-US"/>
        </w:rPr>
        <w:t>Έκτακτος</w:t>
      </w:r>
      <w:r w:rsidR="00FB7626">
        <w:rPr>
          <w:rFonts w:eastAsia="Calibri"/>
          <w:lang w:eastAsia="en-US"/>
        </w:rPr>
        <w:t xml:space="preserve"> Καθηγητής </w:t>
      </w:r>
    </w:p>
    <w:bookmarkEnd w:id="0"/>
    <w:p w:rsidR="00915B3E" w:rsidRPr="00290591" w:rsidRDefault="00915B3E" w:rsidP="00E06BC6">
      <w:pPr>
        <w:spacing w:after="0"/>
        <w:rPr>
          <w:rFonts w:eastAsia="Calibri"/>
          <w:lang w:eastAsia="en-US"/>
        </w:rPr>
      </w:pPr>
      <w:r w:rsidRPr="00290591">
        <w:rPr>
          <w:rFonts w:eastAsia="Calibri"/>
          <w:lang w:eastAsia="en-US"/>
        </w:rPr>
        <w:t>Σχολή Τεχνολογικών Εφαρμογών</w:t>
      </w:r>
    </w:p>
    <w:p w:rsidR="007D3DBF" w:rsidRPr="00290591" w:rsidRDefault="007D3DBF" w:rsidP="0070010D">
      <w:pPr>
        <w:rPr>
          <w:rFonts w:eastAsia="Calibri"/>
          <w:lang w:eastAsia="en-US"/>
        </w:rPr>
      </w:pPr>
      <w:r w:rsidRPr="00290591">
        <w:rPr>
          <w:rFonts w:eastAsia="Calibri"/>
          <w:lang w:eastAsia="en-US"/>
        </w:rPr>
        <w:t xml:space="preserve">Τμήμα </w:t>
      </w:r>
      <w:r w:rsidR="00016678" w:rsidRPr="00290591">
        <w:rPr>
          <w:rFonts w:eastAsia="Calibri"/>
          <w:lang w:eastAsia="en-US"/>
        </w:rPr>
        <w:t>Λογιστικής και Χρηματοοικονομικής</w:t>
      </w:r>
    </w:p>
    <w:p w:rsidR="007D3DBF" w:rsidRPr="00290591" w:rsidRDefault="007D3DBF" w:rsidP="007D3DBF">
      <w:pPr>
        <w:pBdr>
          <w:bottom w:val="single" w:sz="24" w:space="1" w:color="auto"/>
        </w:pBdr>
        <w:spacing w:after="200"/>
        <w:rPr>
          <w:rFonts w:eastAsia="Calibri" w:cs="Arial"/>
          <w:sz w:val="20"/>
          <w:szCs w:val="22"/>
          <w:lang w:eastAsia="en-US"/>
        </w:rPr>
      </w:pPr>
    </w:p>
    <w:p w:rsidR="007D3DBF" w:rsidRPr="00290591" w:rsidRDefault="007D3DBF" w:rsidP="0070010D">
      <w:pPr>
        <w:spacing w:after="240"/>
        <w:ind w:firstLine="0"/>
        <w:rPr>
          <w:rFonts w:eastAsia="Calibri" w:cs="Arial"/>
          <w:szCs w:val="22"/>
          <w:lang w:eastAsia="en-US" w:bidi="en-US"/>
        </w:rPr>
      </w:pPr>
      <w:bookmarkStart w:id="1" w:name="_Toc367176340"/>
      <w:bookmarkStart w:id="2" w:name="_Toc367132085"/>
      <w:bookmarkStart w:id="3" w:name="_Toc367101078"/>
      <w:bookmarkStart w:id="4" w:name="_Toc367101036"/>
      <w:bookmarkStart w:id="5" w:name="_Toc367100747"/>
      <w:r w:rsidRPr="00290591">
        <w:rPr>
          <w:rFonts w:eastAsia="Calibri"/>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290591">
        <w:rPr>
          <w:rFonts w:eastAsia="Calibri"/>
          <w:b/>
          <w:sz w:val="32"/>
          <w:lang w:eastAsia="en-US"/>
        </w:rPr>
        <w:lastRenderedPageBreak/>
        <w:t>Χρηματοδότηση</w:t>
      </w:r>
      <w:bookmarkEnd w:id="6"/>
      <w:bookmarkEnd w:id="7"/>
      <w:bookmarkEnd w:id="8"/>
      <w:bookmarkEnd w:id="9"/>
      <w:bookmarkEnd w:id="10"/>
      <w:bookmarkEnd w:id="11"/>
      <w:bookmarkEnd w:id="12"/>
      <w:bookmarkEnd w:id="13"/>
    </w:p>
    <w:p w:rsidR="007D3DBF" w:rsidRPr="00290591" w:rsidRDefault="007D3DBF" w:rsidP="0070010D">
      <w:pPr>
        <w:pStyle w:val="ListParagraph"/>
        <w:numPr>
          <w:ilvl w:val="0"/>
          <w:numId w:val="8"/>
        </w:numPr>
        <w:rPr>
          <w:rFonts w:eastAsia="Calibri"/>
          <w:lang w:eastAsia="en-US" w:bidi="en-US"/>
        </w:rPr>
      </w:pPr>
      <w:r w:rsidRPr="00290591">
        <w:rPr>
          <w:rFonts w:eastAsia="Calibri"/>
          <w:lang w:eastAsia="en-US" w:bidi="en-US"/>
        </w:rPr>
        <w:t>Το παρόν εκπαιδ</w:t>
      </w:r>
      <w:r w:rsidR="00E06BC6" w:rsidRPr="00290591">
        <w:rPr>
          <w:rFonts w:eastAsia="Calibri"/>
          <w:lang w:eastAsia="en-US" w:bidi="en-US"/>
        </w:rPr>
        <w:t>ευτικό υλικό έχει αναπτυχθεί στο πλαίσιο</w:t>
      </w:r>
      <w:r w:rsidRPr="00290591">
        <w:rPr>
          <w:rFonts w:eastAsia="Calibri"/>
          <w:lang w:eastAsia="en-US" w:bidi="en-US"/>
        </w:rPr>
        <w:t xml:space="preserve"> του εκπαιδευτικού έργου του διδάσκοντα.</w:t>
      </w:r>
    </w:p>
    <w:p w:rsidR="007D3DBF" w:rsidRPr="00290591" w:rsidRDefault="007D3DBF" w:rsidP="0070010D">
      <w:pPr>
        <w:pStyle w:val="ListParagraph"/>
        <w:numPr>
          <w:ilvl w:val="0"/>
          <w:numId w:val="8"/>
        </w:numPr>
        <w:rPr>
          <w:rFonts w:eastAsia="Calibri"/>
          <w:lang w:eastAsia="en-US"/>
        </w:rPr>
      </w:pPr>
      <w:r w:rsidRPr="00290591">
        <w:rPr>
          <w:rFonts w:eastAsia="Calibri"/>
          <w:lang w:eastAsia="en-US"/>
        </w:rPr>
        <w:t>Το έργο «</w:t>
      </w:r>
      <w:r w:rsidRPr="00290591">
        <w:rPr>
          <w:rFonts w:eastAsia="Calibri"/>
          <w:b/>
          <w:bCs/>
          <w:lang w:eastAsia="en-US"/>
        </w:rPr>
        <w:t>Ανοικτά Ακαδημαϊκά Μαθήματα στο Τ.Ε.Ι. Θεσσαλίας</w:t>
      </w:r>
      <w:r w:rsidRPr="00290591">
        <w:rPr>
          <w:rFonts w:eastAsia="Calibri"/>
          <w:lang w:eastAsia="en-US"/>
        </w:rPr>
        <w:t>» έχει χρηματοδοτήσει μόνο τη</w:t>
      </w:r>
      <w:r w:rsidR="0070010D" w:rsidRPr="00290591">
        <w:rPr>
          <w:rFonts w:eastAsia="Calibri"/>
          <w:lang w:eastAsia="en-US"/>
        </w:rPr>
        <w:t>ν</w:t>
      </w:r>
      <w:r w:rsidRPr="00290591">
        <w:rPr>
          <w:rFonts w:eastAsia="Calibri"/>
          <w:lang w:eastAsia="en-US"/>
        </w:rPr>
        <w:t xml:space="preserve"> αναδιαμόρφωση του εκπαιδευτικού υλικού. </w:t>
      </w:r>
    </w:p>
    <w:p w:rsidR="007D3DBF" w:rsidRPr="00290591" w:rsidRDefault="007D3DBF" w:rsidP="0070010D">
      <w:pPr>
        <w:pStyle w:val="ListParagraph"/>
        <w:numPr>
          <w:ilvl w:val="0"/>
          <w:numId w:val="8"/>
        </w:numPr>
        <w:rPr>
          <w:rFonts w:eastAsia="Calibri"/>
          <w:lang w:eastAsia="en-US" w:bidi="en-US"/>
        </w:rPr>
      </w:pPr>
      <w:r w:rsidRPr="00290591">
        <w:rPr>
          <w:rFonts w:eastAsia="Calibri"/>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290591" w:rsidRDefault="007D3DBF" w:rsidP="007D3DBF">
      <w:pPr>
        <w:spacing w:after="0"/>
        <w:rPr>
          <w:rFonts w:cs="Arial"/>
          <w:szCs w:val="22"/>
          <w:lang w:eastAsia="en-US" w:bidi="en-US"/>
        </w:rPr>
      </w:pPr>
    </w:p>
    <w:p w:rsidR="007D3DBF" w:rsidRPr="00290591" w:rsidRDefault="007D3DBF" w:rsidP="007D3DBF">
      <w:pPr>
        <w:spacing w:after="200" w:line="276" w:lineRule="auto"/>
        <w:rPr>
          <w:rFonts w:cs="Arial"/>
          <w:noProof/>
          <w:sz w:val="22"/>
          <w:szCs w:val="22"/>
          <w:lang w:val="en-US"/>
        </w:rPr>
      </w:pPr>
      <w:r w:rsidRPr="00290591">
        <w:rPr>
          <w:rFonts w:cs="Arial"/>
          <w:noProof/>
          <w:sz w:val="22"/>
          <w:szCs w:val="22"/>
        </w:rPr>
        <w:drawing>
          <wp:inline distT="0" distB="0" distL="0" distR="0" wp14:anchorId="7AD2A764" wp14:editId="7E6C9BEA">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Default="00E46746" w:rsidP="00E46746">
      <w:pPr>
        <w:spacing w:after="1800" w:line="276" w:lineRule="auto"/>
        <w:ind w:firstLine="0"/>
        <w:rPr>
          <w:rFonts w:eastAsia="Calibri" w:cs="Arial"/>
          <w:szCs w:val="22"/>
          <w:lang w:eastAsia="en-US"/>
        </w:rPr>
      </w:pPr>
      <w:bookmarkStart w:id="14" w:name="_Toc367132087"/>
      <w:bookmarkStart w:id="15" w:name="_Toc367696168"/>
      <w:bookmarkStart w:id="16" w:name="_Toc367695640"/>
      <w:bookmarkStart w:id="17" w:name="_Toc367391118"/>
      <w:bookmarkStart w:id="18" w:name="_Toc367176342"/>
    </w:p>
    <w:p w:rsidR="009376C1" w:rsidRDefault="009376C1" w:rsidP="00E46746">
      <w:pPr>
        <w:spacing w:after="1800" w:line="276" w:lineRule="auto"/>
        <w:ind w:firstLine="0"/>
        <w:rPr>
          <w:rFonts w:eastAsia="Calibri" w:cs="Arial"/>
          <w:szCs w:val="22"/>
          <w:lang w:eastAsia="en-US"/>
        </w:rPr>
      </w:pPr>
    </w:p>
    <w:p w:rsidR="009376C1" w:rsidRDefault="009376C1" w:rsidP="00E46746">
      <w:pPr>
        <w:spacing w:after="1800" w:line="276" w:lineRule="auto"/>
        <w:ind w:firstLine="0"/>
        <w:rPr>
          <w:rFonts w:eastAsia="Calibri" w:cs="Arial"/>
          <w:szCs w:val="22"/>
          <w:lang w:eastAsia="en-US"/>
        </w:rPr>
      </w:pPr>
    </w:p>
    <w:p w:rsidR="009376C1" w:rsidRPr="00290591" w:rsidRDefault="009376C1" w:rsidP="00E46746">
      <w:pPr>
        <w:spacing w:after="1800" w:line="276" w:lineRule="auto"/>
        <w:ind w:firstLine="0"/>
        <w:rPr>
          <w:rFonts w:eastAsia="Calibri" w:cs="Arial"/>
          <w:szCs w:val="22"/>
          <w:lang w:eastAsia="en-US"/>
        </w:rPr>
      </w:pPr>
    </w:p>
    <w:bookmarkEnd w:id="14"/>
    <w:bookmarkEnd w:id="15"/>
    <w:bookmarkEnd w:id="16"/>
    <w:bookmarkEnd w:id="17"/>
    <w:bookmarkEnd w:id="18"/>
    <w:p w:rsidR="007D3DBF" w:rsidRPr="00290591" w:rsidRDefault="007D3DBF" w:rsidP="0070010D">
      <w:pPr>
        <w:spacing w:after="240"/>
        <w:ind w:firstLine="0"/>
        <w:rPr>
          <w:sz w:val="32"/>
        </w:rPr>
      </w:pPr>
      <w:r w:rsidRPr="00290591">
        <w:rPr>
          <w:b/>
          <w:color w:val="0070C0"/>
          <w:sz w:val="32"/>
        </w:rPr>
        <w:lastRenderedPageBreak/>
        <w:t>Περιεχόμενα</w:t>
      </w:r>
    </w:p>
    <w:bookmarkStart w:id="19" w:name="_ΑΛΓΌΡΙΘΜΟΙ"/>
    <w:bookmarkStart w:id="20" w:name="_ΠΡΟΓΡΆΜΜΑΤΑ"/>
    <w:bookmarkEnd w:id="19"/>
    <w:bookmarkEnd w:id="20"/>
    <w:p w:rsidR="00E1034F" w:rsidRDefault="007D3DBF">
      <w:pPr>
        <w:pStyle w:val="TOC1"/>
        <w:tabs>
          <w:tab w:val="right" w:leader="dot" w:pos="9016"/>
        </w:tabs>
        <w:rPr>
          <w:rFonts w:eastAsiaTheme="minorEastAsia" w:cstheme="minorBidi"/>
          <w:noProof/>
          <w:sz w:val="22"/>
          <w:szCs w:val="22"/>
        </w:rPr>
      </w:pPr>
      <w:r w:rsidRPr="00290591">
        <w:rPr>
          <w:rFonts w:eastAsia="Calibri" w:cs="Arial"/>
          <w:szCs w:val="22"/>
          <w:lang w:eastAsia="en-US"/>
        </w:rPr>
        <w:fldChar w:fldCharType="begin"/>
      </w:r>
      <w:r w:rsidRPr="00290591">
        <w:rPr>
          <w:rFonts w:eastAsia="Calibri" w:cs="Arial"/>
          <w:szCs w:val="22"/>
          <w:lang w:eastAsia="en-US"/>
        </w:rPr>
        <w:instrText xml:space="preserve"> TOC \o "1-5" \h \z \u </w:instrText>
      </w:r>
      <w:r w:rsidRPr="00290591">
        <w:rPr>
          <w:rFonts w:eastAsia="Calibri" w:cs="Arial"/>
          <w:szCs w:val="22"/>
          <w:lang w:eastAsia="en-US"/>
        </w:rPr>
        <w:fldChar w:fldCharType="separate"/>
      </w:r>
      <w:hyperlink w:anchor="_Toc426468708" w:history="1">
        <w:r w:rsidR="00E1034F" w:rsidRPr="005E4449">
          <w:rPr>
            <w:rStyle w:val="Hyperlink"/>
            <w:noProof/>
          </w:rPr>
          <w:t>ΒΑΣΙΚΕΣ ΑΡΧΕΣ ΛΟΓΙΣΤΙΚΗΣ</w:t>
        </w:r>
        <w:r w:rsidR="00E1034F">
          <w:rPr>
            <w:noProof/>
            <w:webHidden/>
          </w:rPr>
          <w:tab/>
        </w:r>
        <w:r w:rsidR="00E1034F">
          <w:rPr>
            <w:noProof/>
            <w:webHidden/>
          </w:rPr>
          <w:fldChar w:fldCharType="begin"/>
        </w:r>
        <w:r w:rsidR="00E1034F">
          <w:rPr>
            <w:noProof/>
            <w:webHidden/>
          </w:rPr>
          <w:instrText xml:space="preserve"> PAGEREF _Toc426468708 \h </w:instrText>
        </w:r>
        <w:r w:rsidR="00E1034F">
          <w:rPr>
            <w:noProof/>
            <w:webHidden/>
          </w:rPr>
        </w:r>
        <w:r w:rsidR="00E1034F">
          <w:rPr>
            <w:noProof/>
            <w:webHidden/>
          </w:rPr>
          <w:fldChar w:fldCharType="separate"/>
        </w:r>
        <w:r w:rsidR="00E1034F">
          <w:rPr>
            <w:noProof/>
            <w:webHidden/>
          </w:rPr>
          <w:t>5</w:t>
        </w:r>
        <w:r w:rsidR="00E1034F">
          <w:rPr>
            <w:noProof/>
            <w:webHidden/>
          </w:rPr>
          <w:fldChar w:fldCharType="end"/>
        </w:r>
      </w:hyperlink>
    </w:p>
    <w:p w:rsidR="00E1034F" w:rsidRDefault="00A961DB" w:rsidP="00E1034F">
      <w:pPr>
        <w:pStyle w:val="TOC2"/>
        <w:rPr>
          <w:rFonts w:eastAsiaTheme="minorEastAsia" w:cstheme="minorBidi"/>
          <w:noProof/>
          <w:sz w:val="22"/>
          <w:szCs w:val="22"/>
        </w:rPr>
      </w:pPr>
      <w:hyperlink w:anchor="_Toc426468709" w:history="1">
        <w:r w:rsidR="00E1034F" w:rsidRPr="005E4449">
          <w:rPr>
            <w:rStyle w:val="Hyperlink"/>
            <w:noProof/>
            <w:lang w:val="en-US"/>
          </w:rPr>
          <w:t>A</w:t>
        </w:r>
        <w:r w:rsidR="00E1034F" w:rsidRPr="005E4449">
          <w:rPr>
            <w:rStyle w:val="Hyperlink"/>
            <w:noProof/>
          </w:rPr>
          <w:t>. Η Αρχή της Αυτονομίας</w:t>
        </w:r>
        <w:r w:rsidR="00E1034F">
          <w:rPr>
            <w:noProof/>
            <w:webHidden/>
          </w:rPr>
          <w:tab/>
        </w:r>
        <w:r w:rsidR="00E1034F">
          <w:rPr>
            <w:noProof/>
            <w:webHidden/>
          </w:rPr>
          <w:fldChar w:fldCharType="begin"/>
        </w:r>
        <w:r w:rsidR="00E1034F">
          <w:rPr>
            <w:noProof/>
            <w:webHidden/>
          </w:rPr>
          <w:instrText xml:space="preserve"> PAGEREF _Toc426468709 \h </w:instrText>
        </w:r>
        <w:r w:rsidR="00E1034F">
          <w:rPr>
            <w:noProof/>
            <w:webHidden/>
          </w:rPr>
        </w:r>
        <w:r w:rsidR="00E1034F">
          <w:rPr>
            <w:noProof/>
            <w:webHidden/>
          </w:rPr>
          <w:fldChar w:fldCharType="separate"/>
        </w:r>
        <w:r w:rsidR="00E1034F">
          <w:rPr>
            <w:noProof/>
            <w:webHidden/>
          </w:rPr>
          <w:t>5</w:t>
        </w:r>
        <w:r w:rsidR="00E1034F">
          <w:rPr>
            <w:noProof/>
            <w:webHidden/>
          </w:rPr>
          <w:fldChar w:fldCharType="end"/>
        </w:r>
      </w:hyperlink>
    </w:p>
    <w:p w:rsidR="00E1034F" w:rsidRDefault="00A961DB" w:rsidP="00E1034F">
      <w:pPr>
        <w:pStyle w:val="TOC2"/>
        <w:rPr>
          <w:rFonts w:eastAsiaTheme="minorEastAsia" w:cstheme="minorBidi"/>
          <w:noProof/>
          <w:sz w:val="22"/>
          <w:szCs w:val="22"/>
        </w:rPr>
      </w:pPr>
      <w:hyperlink w:anchor="_Toc426468710" w:history="1">
        <w:r w:rsidR="00E1034F" w:rsidRPr="005E4449">
          <w:rPr>
            <w:rStyle w:val="Hyperlink"/>
            <w:noProof/>
            <w:lang w:val="en-US"/>
          </w:rPr>
          <w:t>B</w:t>
        </w:r>
        <w:r w:rsidR="00E1034F" w:rsidRPr="005E4449">
          <w:rPr>
            <w:rStyle w:val="Hyperlink"/>
            <w:noProof/>
          </w:rPr>
          <w:t>. Η αρχή της κατ' είδος συγκεντρώσεως των αποθεμάτων, εξόδων και εσόδων.</w:t>
        </w:r>
        <w:r w:rsidR="00E1034F">
          <w:rPr>
            <w:noProof/>
            <w:webHidden/>
          </w:rPr>
          <w:tab/>
        </w:r>
        <w:r w:rsidR="00E1034F">
          <w:rPr>
            <w:noProof/>
            <w:webHidden/>
          </w:rPr>
          <w:fldChar w:fldCharType="begin"/>
        </w:r>
        <w:r w:rsidR="00E1034F">
          <w:rPr>
            <w:noProof/>
            <w:webHidden/>
          </w:rPr>
          <w:instrText xml:space="preserve"> PAGEREF _Toc426468710 \h </w:instrText>
        </w:r>
        <w:r w:rsidR="00E1034F">
          <w:rPr>
            <w:noProof/>
            <w:webHidden/>
          </w:rPr>
        </w:r>
        <w:r w:rsidR="00E1034F">
          <w:rPr>
            <w:noProof/>
            <w:webHidden/>
          </w:rPr>
          <w:fldChar w:fldCharType="separate"/>
        </w:r>
        <w:r w:rsidR="00E1034F">
          <w:rPr>
            <w:noProof/>
            <w:webHidden/>
          </w:rPr>
          <w:t>6</w:t>
        </w:r>
        <w:r w:rsidR="00E1034F">
          <w:rPr>
            <w:noProof/>
            <w:webHidden/>
          </w:rPr>
          <w:fldChar w:fldCharType="end"/>
        </w:r>
      </w:hyperlink>
    </w:p>
    <w:p w:rsidR="00E1034F" w:rsidRDefault="00A961DB" w:rsidP="00E1034F">
      <w:pPr>
        <w:pStyle w:val="TOC2"/>
        <w:rPr>
          <w:rFonts w:eastAsiaTheme="minorEastAsia" w:cstheme="minorBidi"/>
          <w:noProof/>
          <w:sz w:val="22"/>
          <w:szCs w:val="22"/>
        </w:rPr>
      </w:pPr>
      <w:hyperlink w:anchor="_Toc426468711" w:history="1">
        <w:r w:rsidR="00E1034F" w:rsidRPr="005E4449">
          <w:rPr>
            <w:rStyle w:val="Hyperlink"/>
            <w:noProof/>
          </w:rPr>
          <w:t>Γ. Η αρχή της καταρτίσεως του λογαριασμού της γενικής εκμεταλλεύσεως με λογιστικές εγγραφές.</w:t>
        </w:r>
        <w:r w:rsidR="00E1034F">
          <w:rPr>
            <w:noProof/>
            <w:webHidden/>
          </w:rPr>
          <w:tab/>
        </w:r>
        <w:r w:rsidR="00E1034F">
          <w:rPr>
            <w:noProof/>
            <w:webHidden/>
          </w:rPr>
          <w:fldChar w:fldCharType="begin"/>
        </w:r>
        <w:r w:rsidR="00E1034F">
          <w:rPr>
            <w:noProof/>
            <w:webHidden/>
          </w:rPr>
          <w:instrText xml:space="preserve"> PAGEREF _Toc426468711 \h </w:instrText>
        </w:r>
        <w:r w:rsidR="00E1034F">
          <w:rPr>
            <w:noProof/>
            <w:webHidden/>
          </w:rPr>
        </w:r>
        <w:r w:rsidR="00E1034F">
          <w:rPr>
            <w:noProof/>
            <w:webHidden/>
          </w:rPr>
          <w:fldChar w:fldCharType="separate"/>
        </w:r>
        <w:r w:rsidR="00E1034F">
          <w:rPr>
            <w:noProof/>
            <w:webHidden/>
          </w:rPr>
          <w:t>6</w:t>
        </w:r>
        <w:r w:rsidR="00E1034F">
          <w:rPr>
            <w:noProof/>
            <w:webHidden/>
          </w:rPr>
          <w:fldChar w:fldCharType="end"/>
        </w:r>
      </w:hyperlink>
    </w:p>
    <w:p w:rsidR="00E1034F" w:rsidRDefault="00A961DB" w:rsidP="00E1034F">
      <w:pPr>
        <w:pStyle w:val="TOC2"/>
        <w:rPr>
          <w:rFonts w:eastAsiaTheme="minorEastAsia" w:cstheme="minorBidi"/>
          <w:noProof/>
          <w:sz w:val="22"/>
          <w:szCs w:val="22"/>
        </w:rPr>
      </w:pPr>
      <w:hyperlink w:anchor="_Toc426468712" w:history="1">
        <w:r w:rsidR="00E1034F" w:rsidRPr="005E4449">
          <w:rPr>
            <w:rStyle w:val="Hyperlink"/>
            <w:noProof/>
          </w:rPr>
          <w:t>Δ.  Γενικές αρχές τηρήσεως των λογαριασμών</w:t>
        </w:r>
        <w:r w:rsidR="00E1034F">
          <w:rPr>
            <w:noProof/>
            <w:webHidden/>
          </w:rPr>
          <w:tab/>
        </w:r>
        <w:r w:rsidR="00E1034F">
          <w:rPr>
            <w:noProof/>
            <w:webHidden/>
          </w:rPr>
          <w:fldChar w:fldCharType="begin"/>
        </w:r>
        <w:r w:rsidR="00E1034F">
          <w:rPr>
            <w:noProof/>
            <w:webHidden/>
          </w:rPr>
          <w:instrText xml:space="preserve"> PAGEREF _Toc426468712 \h </w:instrText>
        </w:r>
        <w:r w:rsidR="00E1034F">
          <w:rPr>
            <w:noProof/>
            <w:webHidden/>
          </w:rPr>
        </w:r>
        <w:r w:rsidR="00E1034F">
          <w:rPr>
            <w:noProof/>
            <w:webHidden/>
          </w:rPr>
          <w:fldChar w:fldCharType="separate"/>
        </w:r>
        <w:r w:rsidR="00E1034F">
          <w:rPr>
            <w:noProof/>
            <w:webHidden/>
          </w:rPr>
          <w:t>7</w:t>
        </w:r>
        <w:r w:rsidR="00E1034F">
          <w:rPr>
            <w:noProof/>
            <w:webHidden/>
          </w:rPr>
          <w:fldChar w:fldCharType="end"/>
        </w:r>
      </w:hyperlink>
    </w:p>
    <w:p w:rsidR="00E1034F" w:rsidRDefault="00A961DB">
      <w:pPr>
        <w:pStyle w:val="TOC1"/>
        <w:tabs>
          <w:tab w:val="right" w:leader="dot" w:pos="9016"/>
        </w:tabs>
        <w:rPr>
          <w:rFonts w:eastAsiaTheme="minorEastAsia" w:cstheme="minorBidi"/>
          <w:noProof/>
          <w:sz w:val="22"/>
          <w:szCs w:val="22"/>
        </w:rPr>
      </w:pPr>
      <w:hyperlink w:anchor="_Toc426468713" w:history="1">
        <w:r w:rsidR="00E1034F" w:rsidRPr="005E4449">
          <w:rPr>
            <w:rStyle w:val="Hyperlink"/>
            <w:noProof/>
          </w:rPr>
          <w:t>Τέλος Ενότητας</w:t>
        </w:r>
        <w:r w:rsidR="00E1034F">
          <w:rPr>
            <w:noProof/>
            <w:webHidden/>
          </w:rPr>
          <w:tab/>
        </w:r>
        <w:r w:rsidR="00E1034F">
          <w:rPr>
            <w:noProof/>
            <w:webHidden/>
          </w:rPr>
          <w:fldChar w:fldCharType="begin"/>
        </w:r>
        <w:r w:rsidR="00E1034F">
          <w:rPr>
            <w:noProof/>
            <w:webHidden/>
          </w:rPr>
          <w:instrText xml:space="preserve"> PAGEREF _Toc426468713 \h </w:instrText>
        </w:r>
        <w:r w:rsidR="00E1034F">
          <w:rPr>
            <w:noProof/>
            <w:webHidden/>
          </w:rPr>
        </w:r>
        <w:r w:rsidR="00E1034F">
          <w:rPr>
            <w:noProof/>
            <w:webHidden/>
          </w:rPr>
          <w:fldChar w:fldCharType="separate"/>
        </w:r>
        <w:r w:rsidR="00E1034F">
          <w:rPr>
            <w:noProof/>
            <w:webHidden/>
          </w:rPr>
          <w:t>9</w:t>
        </w:r>
        <w:r w:rsidR="00E1034F">
          <w:rPr>
            <w:noProof/>
            <w:webHidden/>
          </w:rPr>
          <w:fldChar w:fldCharType="end"/>
        </w:r>
      </w:hyperlink>
    </w:p>
    <w:p w:rsidR="00E1034F" w:rsidRDefault="00A961DB">
      <w:pPr>
        <w:pStyle w:val="TOC1"/>
        <w:tabs>
          <w:tab w:val="right" w:leader="dot" w:pos="9016"/>
        </w:tabs>
        <w:rPr>
          <w:rFonts w:eastAsiaTheme="minorEastAsia" w:cstheme="minorBidi"/>
          <w:noProof/>
          <w:sz w:val="22"/>
          <w:szCs w:val="22"/>
        </w:rPr>
      </w:pPr>
      <w:hyperlink w:anchor="_Toc426468714" w:history="1">
        <w:r w:rsidR="00E1034F" w:rsidRPr="005E4449">
          <w:rPr>
            <w:rStyle w:val="Hyperlink"/>
            <w:noProof/>
          </w:rPr>
          <w:t>Σημειώματα</w:t>
        </w:r>
        <w:r w:rsidR="00E1034F">
          <w:rPr>
            <w:noProof/>
            <w:webHidden/>
          </w:rPr>
          <w:tab/>
        </w:r>
        <w:r w:rsidR="00E1034F">
          <w:rPr>
            <w:noProof/>
            <w:webHidden/>
          </w:rPr>
          <w:fldChar w:fldCharType="begin"/>
        </w:r>
        <w:r w:rsidR="00E1034F">
          <w:rPr>
            <w:noProof/>
            <w:webHidden/>
          </w:rPr>
          <w:instrText xml:space="preserve"> PAGEREF _Toc426468714 \h </w:instrText>
        </w:r>
        <w:r w:rsidR="00E1034F">
          <w:rPr>
            <w:noProof/>
            <w:webHidden/>
          </w:rPr>
        </w:r>
        <w:r w:rsidR="00E1034F">
          <w:rPr>
            <w:noProof/>
            <w:webHidden/>
          </w:rPr>
          <w:fldChar w:fldCharType="separate"/>
        </w:r>
        <w:r w:rsidR="00E1034F">
          <w:rPr>
            <w:noProof/>
            <w:webHidden/>
          </w:rPr>
          <w:t>9</w:t>
        </w:r>
        <w:r w:rsidR="00E1034F">
          <w:rPr>
            <w:noProof/>
            <w:webHidden/>
          </w:rPr>
          <w:fldChar w:fldCharType="end"/>
        </w:r>
      </w:hyperlink>
    </w:p>
    <w:p w:rsidR="007D3DBF" w:rsidRPr="00290591" w:rsidRDefault="007D3DBF" w:rsidP="007D3DBF">
      <w:pPr>
        <w:spacing w:after="600"/>
        <w:rPr>
          <w:rFonts w:eastAsia="Calibri" w:cs="Arial"/>
          <w:szCs w:val="22"/>
          <w:lang w:val="en-US" w:eastAsia="en-US"/>
        </w:rPr>
      </w:pPr>
      <w:r w:rsidRPr="00290591">
        <w:rPr>
          <w:rFonts w:eastAsia="Calibri" w:cs="Arial"/>
          <w:szCs w:val="22"/>
          <w:lang w:eastAsia="en-US"/>
        </w:rPr>
        <w:fldChar w:fldCharType="end"/>
      </w:r>
    </w:p>
    <w:p w:rsidR="007D3DBF" w:rsidRPr="00290591" w:rsidRDefault="007D3DBF" w:rsidP="0070010D">
      <w:pPr>
        <w:spacing w:after="240"/>
        <w:ind w:firstLine="0"/>
        <w:rPr>
          <w:sz w:val="32"/>
          <w:lang w:eastAsia="en-US"/>
        </w:rPr>
      </w:pPr>
      <w:bookmarkStart w:id="21" w:name="_Σχήματα."/>
      <w:bookmarkEnd w:id="21"/>
      <w:r w:rsidRPr="00290591">
        <w:rPr>
          <w:b/>
          <w:sz w:val="32"/>
          <w:lang w:eastAsia="en-US"/>
        </w:rPr>
        <w:t>Σχήματα</w:t>
      </w:r>
    </w:p>
    <w:bookmarkStart w:id="22" w:name="_ΠΊΝΑΚΕΣ"/>
    <w:bookmarkEnd w:id="22"/>
    <w:p w:rsidR="007D3DBF" w:rsidRPr="00290591" w:rsidRDefault="001448EB" w:rsidP="007D3DBF">
      <w:pPr>
        <w:spacing w:after="0"/>
        <w:rPr>
          <w:rFonts w:eastAsia="Calibri" w:cs="Arial"/>
          <w:sz w:val="22"/>
          <w:szCs w:val="22"/>
          <w:lang w:eastAsia="en-US"/>
        </w:rPr>
      </w:pPr>
      <w:r w:rsidRPr="00290591">
        <w:rPr>
          <w:rFonts w:eastAsia="Calibri" w:cs="Arial"/>
          <w:sz w:val="22"/>
          <w:szCs w:val="22"/>
          <w:lang w:eastAsia="en-US"/>
        </w:rPr>
        <w:fldChar w:fldCharType="begin"/>
      </w:r>
      <w:r w:rsidRPr="00290591">
        <w:rPr>
          <w:rFonts w:eastAsia="Calibri" w:cs="Arial"/>
          <w:sz w:val="22"/>
          <w:szCs w:val="22"/>
          <w:lang w:eastAsia="en-US"/>
        </w:rPr>
        <w:instrText xml:space="preserve"> TOC \h \z \c "Σχήμα" </w:instrText>
      </w:r>
      <w:r w:rsidRPr="00290591">
        <w:rPr>
          <w:rFonts w:eastAsia="Calibri" w:cs="Arial"/>
          <w:sz w:val="22"/>
          <w:szCs w:val="22"/>
          <w:lang w:eastAsia="en-US"/>
        </w:rPr>
        <w:fldChar w:fldCharType="separate"/>
      </w:r>
      <w:r w:rsidR="009376C1">
        <w:rPr>
          <w:rFonts w:eastAsia="Calibri" w:cs="Arial"/>
          <w:b/>
          <w:bCs/>
          <w:noProof/>
          <w:sz w:val="22"/>
          <w:szCs w:val="22"/>
          <w:lang w:eastAsia="en-US"/>
        </w:rPr>
        <w:t>Δεν βρέθηκαν καταχωρήσεις πίνακα εικόνων.</w:t>
      </w:r>
      <w:r w:rsidRPr="00290591">
        <w:rPr>
          <w:rFonts w:eastAsia="Calibri" w:cs="Arial"/>
          <w:sz w:val="22"/>
          <w:szCs w:val="22"/>
          <w:lang w:eastAsia="en-US"/>
        </w:rPr>
        <w:fldChar w:fldCharType="end"/>
      </w:r>
    </w:p>
    <w:p w:rsidR="007D3DBF" w:rsidRPr="00290591" w:rsidRDefault="007D3DBF" w:rsidP="0070010D">
      <w:pPr>
        <w:spacing w:after="240"/>
        <w:ind w:firstLine="0"/>
        <w:rPr>
          <w:sz w:val="32"/>
          <w:lang w:eastAsia="en-US"/>
        </w:rPr>
      </w:pPr>
      <w:bookmarkStart w:id="23" w:name="_Πίνακες."/>
      <w:bookmarkEnd w:id="23"/>
      <w:r w:rsidRPr="00290591">
        <w:rPr>
          <w:b/>
          <w:sz w:val="32"/>
          <w:lang w:eastAsia="en-US"/>
        </w:rPr>
        <w:t>Πίνακες</w:t>
      </w:r>
    </w:p>
    <w:p w:rsidR="00E32191" w:rsidRPr="009376C1" w:rsidRDefault="001448EB" w:rsidP="007D3DBF">
      <w:pPr>
        <w:spacing w:after="2760"/>
        <w:rPr>
          <w:rFonts w:eastAsia="Calibri" w:cs="Arial"/>
          <w:szCs w:val="22"/>
          <w:lang w:eastAsia="en-US"/>
        </w:rPr>
      </w:pPr>
      <w:r w:rsidRPr="00290591">
        <w:rPr>
          <w:rFonts w:eastAsia="Calibri" w:cs="Arial"/>
          <w:szCs w:val="22"/>
          <w:lang w:val="en-US" w:eastAsia="en-US"/>
        </w:rPr>
        <w:fldChar w:fldCharType="begin"/>
      </w:r>
      <w:r w:rsidRPr="009376C1">
        <w:rPr>
          <w:rFonts w:eastAsia="Calibri" w:cs="Arial"/>
          <w:szCs w:val="22"/>
          <w:lang w:eastAsia="en-US"/>
        </w:rPr>
        <w:instrText xml:space="preserve"> </w:instrText>
      </w:r>
      <w:r w:rsidRPr="00290591">
        <w:rPr>
          <w:rFonts w:eastAsia="Calibri" w:cs="Arial"/>
          <w:szCs w:val="22"/>
          <w:lang w:val="en-US" w:eastAsia="en-US"/>
        </w:rPr>
        <w:instrText>TOC</w:instrText>
      </w:r>
      <w:r w:rsidRPr="009376C1">
        <w:rPr>
          <w:rFonts w:eastAsia="Calibri" w:cs="Arial"/>
          <w:szCs w:val="22"/>
          <w:lang w:eastAsia="en-US"/>
        </w:rPr>
        <w:instrText xml:space="preserve"> \</w:instrText>
      </w:r>
      <w:r w:rsidRPr="00290591">
        <w:rPr>
          <w:rFonts w:eastAsia="Calibri" w:cs="Arial"/>
          <w:szCs w:val="22"/>
          <w:lang w:val="en-US" w:eastAsia="en-US"/>
        </w:rPr>
        <w:instrText>h</w:instrText>
      </w:r>
      <w:r w:rsidRPr="009376C1">
        <w:rPr>
          <w:rFonts w:eastAsia="Calibri" w:cs="Arial"/>
          <w:szCs w:val="22"/>
          <w:lang w:eastAsia="en-US"/>
        </w:rPr>
        <w:instrText xml:space="preserve"> \</w:instrText>
      </w:r>
      <w:r w:rsidRPr="00290591">
        <w:rPr>
          <w:rFonts w:eastAsia="Calibri" w:cs="Arial"/>
          <w:szCs w:val="22"/>
          <w:lang w:val="en-US" w:eastAsia="en-US"/>
        </w:rPr>
        <w:instrText>z</w:instrText>
      </w:r>
      <w:r w:rsidRPr="009376C1">
        <w:rPr>
          <w:rFonts w:eastAsia="Calibri" w:cs="Arial"/>
          <w:szCs w:val="22"/>
          <w:lang w:eastAsia="en-US"/>
        </w:rPr>
        <w:instrText xml:space="preserve"> \</w:instrText>
      </w:r>
      <w:r w:rsidRPr="00290591">
        <w:rPr>
          <w:rFonts w:eastAsia="Calibri" w:cs="Arial"/>
          <w:szCs w:val="22"/>
          <w:lang w:val="en-US" w:eastAsia="en-US"/>
        </w:rPr>
        <w:instrText>c</w:instrText>
      </w:r>
      <w:r w:rsidRPr="009376C1">
        <w:rPr>
          <w:rFonts w:eastAsia="Calibri" w:cs="Arial"/>
          <w:szCs w:val="22"/>
          <w:lang w:eastAsia="en-US"/>
        </w:rPr>
        <w:instrText xml:space="preserve"> "Πίνακας" </w:instrText>
      </w:r>
      <w:r w:rsidRPr="00290591">
        <w:rPr>
          <w:rFonts w:eastAsia="Calibri" w:cs="Arial"/>
          <w:szCs w:val="22"/>
          <w:lang w:val="en-US" w:eastAsia="en-US"/>
        </w:rPr>
        <w:fldChar w:fldCharType="separate"/>
      </w:r>
      <w:r w:rsidR="009376C1">
        <w:rPr>
          <w:rFonts w:eastAsia="Calibri" w:cs="Arial"/>
          <w:b/>
          <w:bCs/>
          <w:noProof/>
          <w:szCs w:val="22"/>
          <w:lang w:eastAsia="en-US"/>
        </w:rPr>
        <w:t>Δεν βρέθηκαν καταχωρήσεις πίνακα εικόνων.</w:t>
      </w:r>
      <w:r w:rsidRPr="00290591">
        <w:rPr>
          <w:rFonts w:eastAsia="Calibri" w:cs="Arial"/>
          <w:szCs w:val="22"/>
          <w:lang w:val="en-US" w:eastAsia="en-US"/>
        </w:rPr>
        <w:fldChar w:fldCharType="end"/>
      </w:r>
    </w:p>
    <w:p w:rsidR="007D3DBF" w:rsidRPr="009376C1" w:rsidRDefault="00E32191" w:rsidP="00E32191">
      <w:pPr>
        <w:rPr>
          <w:rFonts w:eastAsia="Calibri"/>
          <w:lang w:eastAsia="en-US"/>
        </w:rPr>
      </w:pPr>
      <w:r w:rsidRPr="009376C1">
        <w:rPr>
          <w:rFonts w:eastAsia="Calibri"/>
          <w:lang w:eastAsia="en-US"/>
        </w:rPr>
        <w:br w:type="page"/>
      </w:r>
    </w:p>
    <w:p w:rsidR="00290591" w:rsidRPr="00290591" w:rsidRDefault="00290591" w:rsidP="009376C1">
      <w:pPr>
        <w:pStyle w:val="Heading1"/>
      </w:pPr>
      <w:bookmarkStart w:id="24" w:name="_Toc426468708"/>
      <w:r w:rsidRPr="00290591">
        <w:lastRenderedPageBreak/>
        <w:t>ΒΑΣΙΚΕΣ ΑΡΧΕΣ ΛΟΓΙΣΤΙΚΗΣ</w:t>
      </w:r>
      <w:bookmarkEnd w:id="24"/>
    </w:p>
    <w:p w:rsidR="00290591" w:rsidRPr="00290591" w:rsidRDefault="00290591" w:rsidP="009376C1">
      <w:pPr>
        <w:pStyle w:val="Heading2"/>
      </w:pPr>
      <w:bookmarkStart w:id="25" w:name="_Toc426468709"/>
      <w:r w:rsidRPr="00DB5207">
        <w:rPr>
          <w:sz w:val="32"/>
          <w:lang w:val="en-US"/>
        </w:rPr>
        <w:t>A</w:t>
      </w:r>
      <w:r w:rsidRPr="00DB5207">
        <w:rPr>
          <w:sz w:val="32"/>
        </w:rPr>
        <w:t>.</w:t>
      </w:r>
      <w:r w:rsidRPr="00DB5207">
        <w:rPr>
          <w:sz w:val="36"/>
        </w:rPr>
        <w:t xml:space="preserve"> </w:t>
      </w:r>
      <w:r w:rsidRPr="00290591">
        <w:t>Η Αρχή της Αυτονομίας</w:t>
      </w:r>
      <w:bookmarkEnd w:id="25"/>
      <w:r w:rsidRPr="00290591">
        <w:t xml:space="preserve"> </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1</w:t>
      </w:r>
      <w:r w:rsidRPr="00290591">
        <w:rPr>
          <w:rFonts w:asciiTheme="minorHAnsi" w:hAnsiTheme="minorHAnsi"/>
        </w:rPr>
        <w:t>. Το σχέδιο λογαριασμών κατανέμεται σε τρία μέρη, καθένα από τα οποία αποτελεί ιδιαίτερο και ανεξάρτητο λογιστικό κύκλωμα. Οι λογαριασμοί το καθενός από τα μέρη αυτά συνδέονται και συλλειτουργούν μεταξύ τους, χωρίς να επηρεάζουν λογιστικά τους λογαριασμούς των άλλων δύο μερών.</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2.</w:t>
      </w:r>
      <w:r w:rsidRPr="00290591">
        <w:rPr>
          <w:rFonts w:asciiTheme="minorHAnsi" w:hAnsiTheme="minorHAnsi"/>
        </w:rPr>
        <w:t xml:space="preserve"> Σύμφωνα με την αρχή της αυτονομίας η αναλυτική λογιστική λειτουργεί ανεξάρτητα από τη γενική, σε λογαριασμούς που αναπτύσσονται στην ομάδα 9, συνδέονται δε και συλλειτουργούν μεταξύ τους στο ανεξάρτητα λογιστικό κύκλωμα της ομάδας αυτής.</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3.</w:t>
      </w:r>
      <w:r w:rsidRPr="00290591">
        <w:rPr>
          <w:rFonts w:asciiTheme="minorHAnsi" w:hAnsiTheme="minorHAnsi"/>
        </w:rPr>
        <w:t xml:space="preserve"> Η αυτονομία της αναλυτικής λογιστικής εκμεταλλεύσεως εξασφαλίζεται με διάμεσους - </w:t>
      </w:r>
      <w:proofErr w:type="spellStart"/>
      <w:r w:rsidRPr="00290591">
        <w:rPr>
          <w:rFonts w:asciiTheme="minorHAnsi" w:hAnsiTheme="minorHAnsi"/>
        </w:rPr>
        <w:t>αντικρυζόμενους</w:t>
      </w:r>
      <w:proofErr w:type="spellEnd"/>
      <w:r w:rsidRPr="00290591">
        <w:rPr>
          <w:rFonts w:asciiTheme="minorHAnsi" w:hAnsiTheme="minorHAnsi"/>
        </w:rPr>
        <w:t xml:space="preserve"> λογαριασμούς, οι οποίοι ανοίγονται και λειτουργούν στην ομάδα 9, σύμφωνα με όσα καθορίζονται στην παρ. 5.211 του Ε.Γ.Λ.Σ.</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4.</w:t>
      </w:r>
      <w:r w:rsidRPr="00290591">
        <w:rPr>
          <w:rFonts w:asciiTheme="minorHAnsi" w:hAnsiTheme="minorHAnsi"/>
        </w:rPr>
        <w:t xml:space="preserve"> Οι λογαριασμοί ουσίας της γενικής λογιστικής, που αναπτύσσονται στις ομάδες 1-8, λειτουργούν σε ανεξάρτητο λογιστικό κύκλωμα, σύμφωνα με όσα καθορίζονται στο κεφ. 2.2. του Ε.Γ.Λ.Σ.</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5.</w:t>
      </w:r>
      <w:r w:rsidRPr="00290591">
        <w:rPr>
          <w:rFonts w:asciiTheme="minorHAnsi" w:hAnsiTheme="minorHAnsi"/>
        </w:rPr>
        <w:t xml:space="preserve"> Οι λογαριασμοί τάξεως, που αναπτύσσονται στη δεκάτη (0) ομάδα, λειτουργούν σε ανεξάρτητο λογιστικό κύκλωμα, σύμφωνα με όσα καθορίζονται στο κεφ. 3.2. του Ε.Γ.Λ.Σ.</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6.</w:t>
      </w:r>
      <w:r w:rsidRPr="00290591">
        <w:rPr>
          <w:rFonts w:asciiTheme="minorHAnsi" w:hAnsiTheme="minorHAnsi"/>
        </w:rPr>
        <w:t xml:space="preserve"> Είναι δυνατό να συγχωνεύονται και να λειτουργούν σε ένα ενιαίο σύστημα λογιστικής (στο αυτό λογιστικό κύκλωμα) η γενική και η αναλυτική λογιστική με την προϋπόθεση ότι η αναλυτική λογιστική θα διατηρεί την αυτονομία της και δεν θα αλλοιώνονται οι βασικές αρχές των παρακάτω αρχών </w:t>
      </w:r>
      <w:r w:rsidRPr="00290591">
        <w:rPr>
          <w:rFonts w:asciiTheme="minorHAnsi" w:hAnsiTheme="minorHAnsi"/>
          <w:b/>
        </w:rPr>
        <w:t>Β</w:t>
      </w:r>
      <w:r w:rsidRPr="00290591">
        <w:rPr>
          <w:rFonts w:asciiTheme="minorHAnsi" w:hAnsiTheme="minorHAnsi"/>
        </w:rPr>
        <w:t xml:space="preserve"> και </w:t>
      </w:r>
      <w:r w:rsidRPr="00290591">
        <w:rPr>
          <w:rFonts w:asciiTheme="minorHAnsi" w:hAnsiTheme="minorHAnsi"/>
          <w:b/>
        </w:rPr>
        <w:t>Γ</w:t>
      </w:r>
      <w:r w:rsidRPr="00290591">
        <w:rPr>
          <w:rFonts w:asciiTheme="minorHAnsi" w:hAnsiTheme="minorHAnsi"/>
        </w:rPr>
        <w:t>.</w:t>
      </w: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 w:rsidR="00290591" w:rsidRDefault="00290591" w:rsidP="00290591"/>
    <w:p w:rsidR="00290591" w:rsidRDefault="00290591" w:rsidP="00290591"/>
    <w:p w:rsidR="00290591" w:rsidRPr="00290591" w:rsidRDefault="00290591" w:rsidP="009376C1">
      <w:pPr>
        <w:pStyle w:val="Heading2"/>
      </w:pPr>
      <w:bookmarkStart w:id="26" w:name="_Toc426468710"/>
      <w:r w:rsidRPr="00DB5207">
        <w:rPr>
          <w:sz w:val="36"/>
          <w:lang w:val="en-US"/>
        </w:rPr>
        <w:t>B</w:t>
      </w:r>
      <w:r w:rsidRPr="00DB5207">
        <w:rPr>
          <w:sz w:val="40"/>
        </w:rPr>
        <w:t xml:space="preserve">. </w:t>
      </w:r>
      <w:r w:rsidRPr="00290591">
        <w:t>Η αρχή της κατ' είδος συγκεντρώσεως των αποθεμάτων, εξόδων και εσόδων.</w:t>
      </w:r>
      <w:bookmarkEnd w:id="26"/>
    </w:p>
    <w:p w:rsid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1.</w:t>
      </w:r>
      <w:r w:rsidRPr="00290591">
        <w:rPr>
          <w:rFonts w:asciiTheme="minorHAnsi" w:hAnsiTheme="minorHAnsi"/>
        </w:rPr>
        <w:t xml:space="preserve"> Σύμφωνα με την αρχή της κατ' είδος συγκεντρώσεως και παρακολουθήσεως των αγορών, των εξόδων και των εσόδων, τα αντίστοιχα κονδύλια καταχωρούνται σε λογαριασμούς αποθεμάτων (ομάδας 2), εξόδων (ομάδας 6), εσόδων (ομάδας 7) και έκτακτων και ανόργανων αποτελεσμάτων (ομάδας 8), οι οποίοι ανοίγονται και λειτουργούν με κριτήριο το είδος και όχι τον προορισμό για τον οποίο πραγματοποιούνται οι αντίστοιχες αγορές αποθεμάτων και τα αντίστοιχα έξοδα και έσοδα.</w:t>
      </w:r>
      <w:r w:rsidRPr="00290591">
        <w:rPr>
          <w:rFonts w:asciiTheme="minorHAnsi" w:hAnsiTheme="minorHAnsi"/>
        </w:rPr>
        <w:br/>
      </w:r>
      <w:r w:rsidRPr="00290591">
        <w:rPr>
          <w:rFonts w:asciiTheme="minorHAnsi" w:hAnsiTheme="minorHAnsi"/>
          <w:b/>
          <w:sz w:val="28"/>
          <w:szCs w:val="28"/>
        </w:rPr>
        <w:t> 2.</w:t>
      </w:r>
      <w:r w:rsidRPr="00290591">
        <w:rPr>
          <w:rFonts w:asciiTheme="minorHAnsi" w:hAnsiTheme="minorHAnsi"/>
        </w:rPr>
        <w:t xml:space="preserve"> Σύμφωνα με την αρχή της προηγούμενης περίπτωσης οι σχετικοί λογαριασμοί δέχονται χρεώσεις ή πιστώσεις και αντίστοιχους αντιλογισμούς, χωρίς να επιτρέπονται μεταφορές των κονδυλίων τους κατά τη διάρκεια της χρήσεως. Τα υπόλοιπα των λογαριασμών αυτών, στο τέλος κάθε χρήσεως, μεταφέρονται στο λογαριασμό της γενικής εκμεταλλεύσεως, σύμφωνα με όσα καθορίζονται στην παρ. 2.2.803 του Ε.Γ.Λ.Σ., ή στο λογαριασμό αποτελεσμάτων χρήσεως, σύμφωνα με όσα καθορίζονται στην παρ. 2.2.809 του Ε.Γ.Λ.Σ..</w:t>
      </w:r>
    </w:p>
    <w:p w:rsidR="00290591" w:rsidRPr="00290591" w:rsidRDefault="00290591" w:rsidP="00290591">
      <w:pPr>
        <w:pStyle w:val="NormalWeb"/>
        <w:spacing w:before="0" w:beforeAutospacing="0" w:after="0" w:afterAutospacing="0" w:line="360" w:lineRule="auto"/>
        <w:jc w:val="both"/>
        <w:rPr>
          <w:rFonts w:asciiTheme="minorHAnsi" w:hAnsiTheme="minorHAnsi"/>
        </w:rPr>
      </w:pPr>
    </w:p>
    <w:p w:rsidR="00290591" w:rsidRPr="00290591" w:rsidRDefault="00290591" w:rsidP="009376C1">
      <w:pPr>
        <w:pStyle w:val="Heading2"/>
      </w:pPr>
      <w:bookmarkStart w:id="27" w:name="_Toc426468711"/>
      <w:r w:rsidRPr="00DB5207">
        <w:rPr>
          <w:sz w:val="36"/>
        </w:rPr>
        <w:t>Γ.</w:t>
      </w:r>
      <w:r w:rsidRPr="00DB5207">
        <w:rPr>
          <w:sz w:val="40"/>
        </w:rPr>
        <w:t xml:space="preserve"> </w:t>
      </w:r>
      <w:r w:rsidRPr="00290591">
        <w:t>Η αρχή της καταρτίσεως του λογαριασμού της γενικής εκμεταλλεύσεως με λογιστικές εγγραφές.</w:t>
      </w:r>
      <w:bookmarkEnd w:id="27"/>
      <w:r w:rsidRPr="00290591">
        <w:t xml:space="preserve"> </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Ο λογαριασμός της γενικής εκμεταλλεύσεως καταρτίζεται έπειτα από μεταφορά σ' αυτόν την αξίας των αποθεμάτων, οργανικών εξόδων και οργανικών εσόδων κατ' είδος, σύμφωνα με όσα καθορίζονται στην παρ. 2.2.803 του Ε.Γ.Λ.Σ., έτσι ώστε από την ανάλυσή του να προκύπτει η συνολική κίνηση των λογαριασμών κυκλοφορίας ή εκμεταλλεύσεως της οικονομικής μονάδας.</w:t>
      </w: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Default="00290591" w:rsidP="00290591">
      <w:pPr>
        <w:pStyle w:val="NormalWeb"/>
        <w:spacing w:before="0" w:beforeAutospacing="0" w:after="0" w:afterAutospacing="0" w:line="360" w:lineRule="auto"/>
        <w:jc w:val="both"/>
        <w:rPr>
          <w:rFonts w:asciiTheme="minorHAnsi" w:hAnsiTheme="minorHAnsi"/>
        </w:rPr>
      </w:pPr>
    </w:p>
    <w:p w:rsidR="00290591" w:rsidRPr="00290591" w:rsidRDefault="00290591" w:rsidP="009376C1">
      <w:pPr>
        <w:pStyle w:val="Heading2"/>
      </w:pPr>
      <w:bookmarkStart w:id="28" w:name="_Toc426468712"/>
      <w:r w:rsidRPr="00DB5207">
        <w:rPr>
          <w:sz w:val="32"/>
        </w:rPr>
        <w:t>Δ.</w:t>
      </w:r>
      <w:r w:rsidRPr="00DB5207">
        <w:rPr>
          <w:sz w:val="36"/>
        </w:rPr>
        <w:t xml:space="preserve">  </w:t>
      </w:r>
      <w:r w:rsidRPr="00290591">
        <w:t>Γενικές αρχές τηρήσεως των λογαριασμών</w:t>
      </w:r>
      <w:bookmarkEnd w:id="28"/>
    </w:p>
    <w:p w:rsidR="00FB7626"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1.</w:t>
      </w:r>
      <w:r w:rsidRPr="00290591">
        <w:rPr>
          <w:rFonts w:asciiTheme="minorHAnsi" w:hAnsiTheme="minorHAnsi"/>
        </w:rPr>
        <w:t xml:space="preserve"> Για την ενημέρωση των λογαριασμών ισχύει η βασική αρχή της υπάρξεως παραστατικού (δικαιολογητικού) δηλαδή αποδεικτικού πραγματοποιήσεως του εξόδου, του εσόδου, της εισπράξεως ή πληρωμής, όπως π.χ. τιμολογίου, πιστωτικού σημειώματος, δελτίου λιανικής πωλήσεως, αποδείξεως παροχής υπηρεσιών ή αποδείξεως επαγγελματικής δαπάνης, που προβλέπεται σε κάθε περίπτωση. Με βάση τα δικαιολογητικά αυτά </w:t>
      </w:r>
      <w:proofErr w:type="spellStart"/>
      <w:r w:rsidRPr="00290591">
        <w:rPr>
          <w:rFonts w:asciiTheme="minorHAnsi" w:hAnsiTheme="minorHAnsi"/>
        </w:rPr>
        <w:t>λογιστικοποιούνται</w:t>
      </w:r>
      <w:proofErr w:type="spellEnd"/>
      <w:r w:rsidRPr="00290591">
        <w:rPr>
          <w:rFonts w:asciiTheme="minorHAnsi" w:hAnsiTheme="minorHAnsi"/>
        </w:rPr>
        <w:t xml:space="preserve"> τα έξοδα και τα έσοδα. Απόκλιση από τη βασική αυτή αρχή επιτρέπεται στις υποπεριπτώσεις που αναφέρονται στην </w:t>
      </w:r>
      <w:proofErr w:type="spellStart"/>
      <w:r w:rsidRPr="00290591">
        <w:rPr>
          <w:rFonts w:asciiTheme="minorHAnsi" w:hAnsiTheme="minorHAnsi"/>
        </w:rPr>
        <w:t>περίπτ</w:t>
      </w:r>
      <w:proofErr w:type="spellEnd"/>
      <w:r w:rsidRPr="00290591">
        <w:rPr>
          <w:rFonts w:asciiTheme="minorHAnsi" w:hAnsiTheme="minorHAnsi"/>
        </w:rPr>
        <w:t xml:space="preserve">. 3 της παρ. 5.1.600 </w:t>
      </w:r>
      <w:r w:rsidRPr="00290591">
        <w:rPr>
          <w:rFonts w:asciiTheme="minorHAnsi" w:hAnsiTheme="minorHAnsi"/>
          <w:vertAlign w:val="superscript"/>
        </w:rPr>
        <w:t>[</w:t>
      </w:r>
      <w:r w:rsidRPr="00290591">
        <w:rPr>
          <w:rFonts w:asciiTheme="minorHAnsi" w:hAnsiTheme="minorHAnsi"/>
          <w:vertAlign w:val="superscript"/>
          <w:lang w:val="en-US"/>
        </w:rPr>
        <w:t>I</w:t>
      </w:r>
      <w:r w:rsidRPr="00290591">
        <w:rPr>
          <w:rFonts w:asciiTheme="minorHAnsi" w:hAnsiTheme="minorHAnsi"/>
          <w:vertAlign w:val="superscript"/>
        </w:rPr>
        <w:t>.</w:t>
      </w:r>
      <w:r w:rsidRPr="00290591">
        <w:rPr>
          <w:rStyle w:val="FootnoteReference"/>
          <w:rFonts w:asciiTheme="minorHAnsi" w:hAnsiTheme="minorHAnsi"/>
        </w:rPr>
        <w:footnoteReference w:id="1"/>
      </w:r>
      <w:r w:rsidRPr="00290591">
        <w:rPr>
          <w:rFonts w:asciiTheme="minorHAnsi" w:hAnsiTheme="minorHAnsi"/>
          <w:vertAlign w:val="superscript"/>
        </w:rPr>
        <w:t>]</w:t>
      </w:r>
      <w:r w:rsidRPr="00290591">
        <w:rPr>
          <w:rFonts w:asciiTheme="minorHAnsi" w:hAnsiTheme="minorHAnsi"/>
        </w:rPr>
        <w:t>του Ε.Γ.Λ.Σ..</w:t>
      </w:r>
      <w:r w:rsidR="00FB7626">
        <w:rPr>
          <w:rFonts w:asciiTheme="minorHAnsi" w:hAnsiTheme="minorHAnsi"/>
        </w:rPr>
        <w:t xml:space="preserve"> </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sz w:val="28"/>
          <w:szCs w:val="28"/>
        </w:rPr>
        <w:lastRenderedPageBreak/>
        <w:t> </w:t>
      </w:r>
      <w:r w:rsidRPr="00290591">
        <w:rPr>
          <w:rFonts w:asciiTheme="minorHAnsi" w:hAnsiTheme="minorHAnsi"/>
          <w:b/>
          <w:sz w:val="28"/>
          <w:szCs w:val="28"/>
        </w:rPr>
        <w:t>2</w:t>
      </w:r>
      <w:r w:rsidRPr="00290591">
        <w:rPr>
          <w:rFonts w:asciiTheme="minorHAnsi" w:hAnsiTheme="minorHAnsi"/>
        </w:rPr>
        <w:t>. Στους αναλυτικούς λογαριασμούς της τελευταίας βαθμίδας καταχωρούνται και τα εξής τουλάχιστον στοιχεία:</w:t>
      </w:r>
    </w:p>
    <w:p w:rsidR="00290591" w:rsidRPr="00290591" w:rsidRDefault="00290591" w:rsidP="00290591">
      <w:pPr>
        <w:pStyle w:val="NormalWeb"/>
        <w:spacing w:before="0" w:beforeAutospacing="0" w:after="0" w:afterAutospacing="0" w:line="360" w:lineRule="auto"/>
        <w:ind w:left="426"/>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α.</w:t>
      </w:r>
      <w:r w:rsidRPr="00290591">
        <w:rPr>
          <w:rFonts w:asciiTheme="minorHAnsi" w:hAnsiTheme="minorHAnsi"/>
        </w:rPr>
        <w:t xml:space="preserve"> Ο </w:t>
      </w:r>
      <w:proofErr w:type="spellStart"/>
      <w:r w:rsidRPr="00290591">
        <w:rPr>
          <w:rFonts w:asciiTheme="minorHAnsi" w:hAnsiTheme="minorHAnsi"/>
        </w:rPr>
        <w:t>αύξοντας</w:t>
      </w:r>
      <w:proofErr w:type="spellEnd"/>
      <w:r w:rsidRPr="00290591">
        <w:rPr>
          <w:rFonts w:asciiTheme="minorHAnsi" w:hAnsiTheme="minorHAnsi"/>
        </w:rPr>
        <w:t xml:space="preserve"> αριθμός του παραστατικού, με το οποίο γίνεται η </w:t>
      </w:r>
      <w:proofErr w:type="spellStart"/>
      <w:r w:rsidRPr="00290591">
        <w:rPr>
          <w:rFonts w:asciiTheme="minorHAnsi" w:hAnsiTheme="minorHAnsi"/>
        </w:rPr>
        <w:t>λογιστικοποίηση</w:t>
      </w:r>
      <w:proofErr w:type="spellEnd"/>
      <w:r w:rsidRPr="00290591">
        <w:rPr>
          <w:rFonts w:asciiTheme="minorHAnsi" w:hAnsiTheme="minorHAnsi"/>
        </w:rPr>
        <w:t xml:space="preserve"> και καταχώριση στο λογαριασμό αυτό του σχετικού ποσού.</w:t>
      </w:r>
    </w:p>
    <w:p w:rsidR="00290591" w:rsidRPr="00290591" w:rsidRDefault="00290591" w:rsidP="00290591">
      <w:pPr>
        <w:pStyle w:val="NormalWeb"/>
        <w:spacing w:before="0" w:beforeAutospacing="0" w:after="0" w:afterAutospacing="0" w:line="360" w:lineRule="auto"/>
        <w:ind w:left="426"/>
        <w:jc w:val="both"/>
        <w:rPr>
          <w:rFonts w:asciiTheme="minorHAnsi" w:hAnsiTheme="minorHAnsi"/>
        </w:rPr>
      </w:pPr>
      <w:r w:rsidRPr="00290591">
        <w:rPr>
          <w:rFonts w:asciiTheme="minorHAnsi" w:hAnsiTheme="minorHAnsi"/>
        </w:rPr>
        <w:t> </w:t>
      </w:r>
      <w:r w:rsidRPr="00290591">
        <w:rPr>
          <w:rFonts w:asciiTheme="minorHAnsi" w:hAnsiTheme="minorHAnsi"/>
          <w:b/>
          <w:sz w:val="28"/>
          <w:szCs w:val="28"/>
        </w:rPr>
        <w:t>β.</w:t>
      </w:r>
      <w:r w:rsidRPr="00290591">
        <w:rPr>
          <w:rFonts w:asciiTheme="minorHAnsi" w:hAnsiTheme="minorHAnsi"/>
        </w:rPr>
        <w:t xml:space="preserve"> Σύντομη αιτιολογία για κάθε εγγραφή, δηλαδή για κάθε ποσό που καταχωρείται στη χρέωση ή την πίστωση του λογαριασμού.</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b/>
          <w:sz w:val="28"/>
          <w:szCs w:val="28"/>
        </w:rPr>
        <w:t> 3.</w:t>
      </w:r>
      <w:r w:rsidRPr="00290591">
        <w:rPr>
          <w:rFonts w:asciiTheme="minorHAnsi" w:hAnsiTheme="minorHAnsi"/>
        </w:rPr>
        <w:t xml:space="preserve"> Για τους αναλυτικούς λογαριασμούς της τελευταίας βαθμίδας της γενικής λογιστικής και των λογαριασμών τάξεως είναι υποχρεωτική η τήρηση αναλυτικών μερίδων σε καρτέλες ή με οποιοδήποτε άλλο τρόπο. Για τους ίδιους λογαριασμούς της αναλυτικής λογιστικής ισχύουν όσα ορίζονται στην περίπτωση 7 της παρ. 5.210 του Ε.Γ.Λ.Σ.</w:t>
      </w:r>
    </w:p>
    <w:p w:rsidR="00290591" w:rsidRPr="00290591" w:rsidRDefault="00290591" w:rsidP="00290591">
      <w:pPr>
        <w:pStyle w:val="NormalWeb"/>
        <w:spacing w:before="0" w:beforeAutospacing="0" w:after="0" w:afterAutospacing="0" w:line="360" w:lineRule="auto"/>
        <w:jc w:val="both"/>
        <w:rPr>
          <w:rFonts w:asciiTheme="minorHAnsi" w:hAnsiTheme="minorHAnsi"/>
        </w:rPr>
      </w:pPr>
      <w:r w:rsidRPr="00290591">
        <w:rPr>
          <w:rFonts w:asciiTheme="minorHAnsi" w:hAnsiTheme="minorHAnsi"/>
          <w:b/>
          <w:sz w:val="28"/>
          <w:szCs w:val="28"/>
        </w:rPr>
        <w:t> 4.</w:t>
      </w:r>
      <w:r w:rsidRPr="00290591">
        <w:rPr>
          <w:rFonts w:asciiTheme="minorHAnsi" w:hAnsiTheme="minorHAnsi"/>
        </w:rPr>
        <w:t xml:space="preserve"> Παρέχεται η ευχέρεια στις οικονομικές μονάδες να ενημερώνουν τους λογαριασμούς της προτελευταίας βαθμίδας (περιληπτικούς) μόνο με τη συνολική κίνηση, τόσο της χρέωσης, όσο και της πιστώσεως, των αντίστοιχων λογαριασμών τους της τελευταίας βαθμίδας (αναλυτικών) με την προϋπόθεση ότι η ενημέρωση αυτή θα γίνεται, κατά οποιοδήποτε τρόπο, τουλάχιστο στο τέλος κάθε μήνα.</w:t>
      </w:r>
    </w:p>
    <w:p w:rsidR="00290591" w:rsidRPr="00290591" w:rsidRDefault="00290591" w:rsidP="00290591">
      <w:pPr>
        <w:rPr>
          <w:szCs w:val="24"/>
        </w:rPr>
      </w:pPr>
    </w:p>
    <w:p w:rsidR="00AE0C16" w:rsidRPr="00290591" w:rsidRDefault="00AE0C16" w:rsidP="00E1034F">
      <w:pPr>
        <w:pStyle w:val="Heading1"/>
      </w:pPr>
      <w:bookmarkStart w:id="29" w:name="_Toc426468713"/>
      <w:r w:rsidRPr="00290591">
        <w:t>Τέλος Ενότητας</w:t>
      </w:r>
      <w:bookmarkEnd w:id="29"/>
    </w:p>
    <w:p w:rsidR="00AE0C16" w:rsidRPr="00290591" w:rsidRDefault="00AE0C16" w:rsidP="00AE0C16">
      <w:pPr>
        <w:spacing w:after="840"/>
        <w:jc w:val="right"/>
        <w:rPr>
          <w:rFonts w:cs="Arial"/>
          <w:szCs w:val="24"/>
        </w:rPr>
      </w:pPr>
      <w:r w:rsidRPr="00290591">
        <w:rPr>
          <w:rFonts w:cs="Arial"/>
          <w:szCs w:val="24"/>
        </w:rPr>
        <w:t xml:space="preserve">Επεξεργασία: </w:t>
      </w:r>
      <w:r w:rsidR="00290591">
        <w:rPr>
          <w:rFonts w:cs="Arial"/>
          <w:szCs w:val="24"/>
        </w:rPr>
        <w:t>Μέγας Χρήστος</w:t>
      </w:r>
    </w:p>
    <w:p w:rsidR="00AE0C16" w:rsidRPr="00290591" w:rsidRDefault="00AE0C16" w:rsidP="00AE0C16">
      <w:pPr>
        <w:pBdr>
          <w:bottom w:val="single" w:sz="24" w:space="1" w:color="auto"/>
        </w:pBdr>
        <w:spacing w:after="0"/>
        <w:ind w:firstLine="0"/>
      </w:pPr>
      <w:r w:rsidRPr="00290591">
        <w:rPr>
          <w:rFonts w:cs="Arial"/>
          <w:sz w:val="18"/>
          <w:lang w:bidi="en-US"/>
        </w:rPr>
        <w:t xml:space="preserve"> </w:t>
      </w:r>
      <w:bookmarkStart w:id="30" w:name="_Toc368074847"/>
      <w:bookmarkStart w:id="31" w:name="_Toc368074700"/>
      <w:bookmarkStart w:id="32" w:name="_Toc367996097"/>
      <w:bookmarkStart w:id="33" w:name="_Toc367787343"/>
      <w:bookmarkStart w:id="34" w:name="_Toc367783587"/>
      <w:bookmarkStart w:id="35" w:name="_Toc367783569"/>
      <w:bookmarkStart w:id="36" w:name="_Toc367783523"/>
      <w:bookmarkStart w:id="37" w:name="_Toc367708260"/>
      <w:r w:rsidRPr="00290591">
        <w:rPr>
          <w:noProof/>
        </w:rPr>
        <w:drawing>
          <wp:inline distT="0" distB="0" distL="0" distR="0" wp14:anchorId="4F65FFB3" wp14:editId="170F4F32">
            <wp:extent cx="1648800" cy="576000"/>
            <wp:effectExtent l="0" t="0" r="8890" b="0"/>
            <wp:docPr id="2" name="Picture 22" descr="Λογότυπο για άδειες χρήσης creative commons b y, n c, s a">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290591">
        <w:rPr>
          <w:rFonts w:cs="Arial"/>
          <w:noProof/>
          <w:sz w:val="18"/>
        </w:rPr>
        <w:drawing>
          <wp:inline distT="0" distB="0" distL="0" distR="0" wp14:anchorId="415DEA7C" wp14:editId="4AF96F2A">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0"/>
      <w:bookmarkEnd w:id="31"/>
      <w:bookmarkEnd w:id="32"/>
      <w:bookmarkEnd w:id="33"/>
      <w:bookmarkEnd w:id="34"/>
      <w:bookmarkEnd w:id="35"/>
      <w:bookmarkEnd w:id="36"/>
      <w:bookmarkEnd w:id="37"/>
    </w:p>
    <w:p w:rsidR="00AE0C16" w:rsidRPr="00290591" w:rsidRDefault="00AE0C16" w:rsidP="00AE0C16">
      <w:pPr>
        <w:spacing w:after="600" w:line="240" w:lineRule="auto"/>
        <w:ind w:firstLine="0"/>
        <w:rPr>
          <w:b/>
          <w:sz w:val="32"/>
          <w:szCs w:val="32"/>
          <w:lang w:val="en-US" w:eastAsia="en-US" w:bidi="en-US"/>
        </w:rPr>
      </w:pPr>
    </w:p>
    <w:p w:rsidR="00AE0C16" w:rsidRPr="00E1034F" w:rsidRDefault="00AE0C16" w:rsidP="00E1034F">
      <w:pPr>
        <w:pStyle w:val="Heading1"/>
      </w:pPr>
      <w:bookmarkStart w:id="38" w:name="_Toc426468714"/>
      <w:r w:rsidRPr="00E1034F">
        <w:t>Σημειώματα</w:t>
      </w:r>
      <w:bookmarkEnd w:id="38"/>
    </w:p>
    <w:p w:rsidR="00AE0C16" w:rsidRPr="00290591" w:rsidRDefault="00AE0C16" w:rsidP="00AE0C16">
      <w:pPr>
        <w:spacing w:line="276" w:lineRule="auto"/>
        <w:rPr>
          <w:b/>
          <w:sz w:val="28"/>
          <w:lang w:eastAsia="en-US" w:bidi="en-US"/>
        </w:rPr>
      </w:pPr>
      <w:r w:rsidRPr="00290591">
        <w:rPr>
          <w:b/>
          <w:sz w:val="28"/>
          <w:lang w:eastAsia="en-US" w:bidi="en-US"/>
        </w:rPr>
        <w:t>Σημείωμα Ιστορικού Εκδόσεων Έργου</w:t>
      </w:r>
    </w:p>
    <w:p w:rsidR="00AE0C16" w:rsidRPr="00290591" w:rsidRDefault="00AE0C16" w:rsidP="00AE0C16">
      <w:pPr>
        <w:spacing w:after="600" w:line="276" w:lineRule="auto"/>
      </w:pPr>
      <w:r w:rsidRPr="00290591">
        <w:t xml:space="preserve">Το παρόν έργο αποτελεί την έκδοση </w:t>
      </w:r>
      <w:r w:rsidRPr="00290591">
        <w:rPr>
          <w:color w:val="000000"/>
        </w:rPr>
        <w:t>1.01.</w:t>
      </w:r>
    </w:p>
    <w:p w:rsidR="00AE0C16" w:rsidRPr="00290591" w:rsidRDefault="00AE0C16" w:rsidP="00AE0C16">
      <w:pPr>
        <w:spacing w:line="276" w:lineRule="auto"/>
        <w:rPr>
          <w:b/>
          <w:sz w:val="28"/>
          <w:lang w:eastAsia="en-US" w:bidi="en-US"/>
        </w:rPr>
      </w:pPr>
      <w:r w:rsidRPr="00290591">
        <w:rPr>
          <w:b/>
          <w:sz w:val="28"/>
          <w:lang w:eastAsia="en-US" w:bidi="en-US"/>
        </w:rPr>
        <w:t>Σημείωμα Αναφοράς</w:t>
      </w:r>
    </w:p>
    <w:p w:rsidR="00AE0C16" w:rsidRPr="00290591" w:rsidRDefault="00AE0C16" w:rsidP="00AE0C16">
      <w:pPr>
        <w:spacing w:after="600" w:line="276" w:lineRule="auto"/>
        <w:ind w:left="720" w:firstLine="0"/>
      </w:pPr>
      <w:r w:rsidRPr="00290591">
        <w:rPr>
          <w:lang w:val="en-US"/>
        </w:rPr>
        <w:t>Copyright</w:t>
      </w:r>
      <w:r w:rsidRPr="00290591">
        <w:t xml:space="preserve"> Τεχνολογικό Εκπαιδευτικό Ίδρυμα Θεσσαλίας, </w:t>
      </w:r>
      <w:r w:rsidR="00D91C1A">
        <w:t xml:space="preserve">Αναστασίου Θεόδωρος </w:t>
      </w:r>
      <w:r w:rsidRPr="00290591">
        <w:t xml:space="preserve">2015. </w:t>
      </w:r>
      <w:r w:rsidR="00D91C1A">
        <w:t>Αναστασίου Θεόδωρος</w:t>
      </w:r>
      <w:r w:rsidRPr="00290591">
        <w:t>. «</w:t>
      </w:r>
      <w:proofErr w:type="spellStart"/>
      <w:r w:rsidR="00D91C1A" w:rsidRPr="00D91C1A">
        <w:t>Χρημοτοοικονομική</w:t>
      </w:r>
      <w:proofErr w:type="spellEnd"/>
      <w:r w:rsidR="00D91C1A" w:rsidRPr="00D91C1A">
        <w:t xml:space="preserve"> Λογιστική</w:t>
      </w:r>
      <w:r w:rsidRPr="00290591">
        <w:t xml:space="preserve">». Έκδοση: 1.0. Λάρισα </w:t>
      </w:r>
      <w:r w:rsidR="00D91C1A">
        <w:t>01</w:t>
      </w:r>
      <w:r w:rsidRPr="00290591">
        <w:t>/0</w:t>
      </w:r>
      <w:r w:rsidR="00D91C1A">
        <w:t>7</w:t>
      </w:r>
      <w:r w:rsidRPr="00290591">
        <w:t xml:space="preserve">/2015. Διαθέσιμο από τη δικτυακή διεύθυνση: </w:t>
      </w:r>
      <w:hyperlink r:id="rId17" w:tgtFrame="none" w:history="1">
        <w:r w:rsidR="00D91C1A" w:rsidRPr="00D91C1A">
          <w:rPr>
            <w:rStyle w:val="Hyperlink"/>
            <w:highlight w:val="yellow"/>
          </w:rPr>
          <w:t>http://cdev.teilar.gr/courses/</w:t>
        </w:r>
      </w:hyperlink>
      <w:r w:rsidR="00D91C1A">
        <w:rPr>
          <w:rStyle w:val="Hyperlink"/>
        </w:rPr>
        <w:t xml:space="preserve">            </w:t>
      </w:r>
      <w:r w:rsidR="003E2E65" w:rsidRPr="00290591">
        <w:t>.</w:t>
      </w:r>
    </w:p>
    <w:p w:rsidR="00AE0C16" w:rsidRPr="00290591" w:rsidRDefault="00AE0C16" w:rsidP="00AE0C16">
      <w:pPr>
        <w:spacing w:line="276" w:lineRule="auto"/>
        <w:rPr>
          <w:b/>
          <w:sz w:val="28"/>
          <w:lang w:eastAsia="en-US" w:bidi="en-US"/>
        </w:rPr>
      </w:pPr>
      <w:r w:rsidRPr="00290591">
        <w:rPr>
          <w:b/>
          <w:sz w:val="28"/>
          <w:lang w:eastAsia="en-US" w:bidi="en-US"/>
        </w:rPr>
        <w:t xml:space="preserve">Σημείωμα </w:t>
      </w:r>
      <w:proofErr w:type="spellStart"/>
      <w:r w:rsidRPr="00290591">
        <w:rPr>
          <w:b/>
          <w:sz w:val="28"/>
          <w:lang w:eastAsia="en-US" w:bidi="en-US"/>
        </w:rPr>
        <w:t>Αδειοδότησης</w:t>
      </w:r>
      <w:proofErr w:type="spellEnd"/>
    </w:p>
    <w:p w:rsidR="00AE0C16" w:rsidRPr="00290591" w:rsidRDefault="00AE0C16" w:rsidP="00AE0C16">
      <w:pPr>
        <w:spacing w:after="240" w:line="276" w:lineRule="auto"/>
        <w:ind w:left="720" w:firstLine="0"/>
      </w:pPr>
      <w:r w:rsidRPr="00290591">
        <w:t xml:space="preserve">Το παρόν υλικό διατίθεται με τους όρους της άδειας χρήσης </w:t>
      </w:r>
      <w:r w:rsidRPr="00290591">
        <w:rPr>
          <w:lang w:val="en-US"/>
        </w:rPr>
        <w:t>Creative</w:t>
      </w:r>
      <w:r w:rsidRPr="00290591">
        <w:t xml:space="preserve"> </w:t>
      </w:r>
      <w:r w:rsidRPr="00290591">
        <w:rPr>
          <w:lang w:val="en-US"/>
        </w:rPr>
        <w:t>Commons</w:t>
      </w:r>
      <w:r w:rsidRPr="00290591">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290591" w:rsidRDefault="00AE0C16" w:rsidP="00AE0C16">
      <w:pPr>
        <w:spacing w:after="360" w:line="276" w:lineRule="auto"/>
        <w:ind w:firstLine="0"/>
        <w:jc w:val="center"/>
      </w:pPr>
      <w:r w:rsidRPr="00290591">
        <w:rPr>
          <w:noProof/>
        </w:rPr>
        <w:lastRenderedPageBreak/>
        <w:drawing>
          <wp:inline distT="0" distB="0" distL="0" distR="0" wp14:anchorId="526648B3" wp14:editId="38FFE32E">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14"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290591" w:rsidRDefault="00AE0C16" w:rsidP="00AE0C16">
      <w:pPr>
        <w:spacing w:line="276" w:lineRule="auto"/>
      </w:pPr>
      <w:r w:rsidRPr="00290591">
        <w:t xml:space="preserve">[1] </w:t>
      </w:r>
      <w:hyperlink r:id="rId18" w:tooltip="Μετάβαση στην Άδεια Χρήσης" w:history="1">
        <w:r w:rsidRPr="00290591">
          <w:rPr>
            <w:color w:val="0000FF"/>
            <w:u w:val="single"/>
          </w:rPr>
          <w:t>http://creativecommons.org/licenses/by-nc-sa/4.0/</w:t>
        </w:r>
      </w:hyperlink>
      <w:r w:rsidRPr="00290591">
        <w:t xml:space="preserve"> </w:t>
      </w:r>
    </w:p>
    <w:p w:rsidR="00AE0C16" w:rsidRPr="00290591" w:rsidRDefault="00AE0C16" w:rsidP="00AE0C16">
      <w:pPr>
        <w:spacing w:after="0" w:line="276" w:lineRule="auto"/>
      </w:pPr>
      <w:r w:rsidRPr="00290591">
        <w:t xml:space="preserve">Ως </w:t>
      </w:r>
      <w:r w:rsidRPr="00290591">
        <w:rPr>
          <w:b/>
          <w:bCs/>
        </w:rPr>
        <w:t>Μη Εμπορική</w:t>
      </w:r>
      <w:r w:rsidRPr="00290591">
        <w:t xml:space="preserve"> ορίζεται η χρήση:</w:t>
      </w:r>
    </w:p>
    <w:p w:rsidR="00AE0C16" w:rsidRPr="00290591" w:rsidRDefault="00AE0C16" w:rsidP="00AE0C16">
      <w:pPr>
        <w:spacing w:after="0" w:line="276" w:lineRule="auto"/>
        <w:ind w:left="1440" w:firstLine="0"/>
      </w:pPr>
      <w:r w:rsidRPr="00290591">
        <w:t xml:space="preserve">που δεν περιλαμβάνει άμεσο ή έμμεσο οικονομικό όφελος από την χρήση του έργου, για το διανομέα του έργου και </w:t>
      </w:r>
      <w:proofErr w:type="spellStart"/>
      <w:r w:rsidRPr="00290591">
        <w:t>αδειοδόχο</w:t>
      </w:r>
      <w:proofErr w:type="spellEnd"/>
      <w:r w:rsidRPr="00290591">
        <w:t>,</w:t>
      </w:r>
    </w:p>
    <w:p w:rsidR="00AE0C16" w:rsidRPr="00290591" w:rsidRDefault="00AE0C16" w:rsidP="00AE0C16">
      <w:pPr>
        <w:spacing w:after="0" w:line="276" w:lineRule="auto"/>
        <w:ind w:left="1440" w:firstLine="0"/>
      </w:pPr>
      <w:r w:rsidRPr="00290591">
        <w:t>που δεν περιλαμβάνει οικονομική συναλλαγή ως προϋπόθεση για τη χρήση ή πρόσβαση στο έργο,</w:t>
      </w:r>
    </w:p>
    <w:p w:rsidR="00AE0C16" w:rsidRPr="00290591" w:rsidRDefault="00AE0C16" w:rsidP="00AE0C16">
      <w:pPr>
        <w:spacing w:line="276" w:lineRule="auto"/>
        <w:ind w:left="1440" w:firstLine="0"/>
      </w:pPr>
      <w:r w:rsidRPr="00290591">
        <w:t>που δεν προσπορίζει στο διανομέα του έργου και</w:t>
      </w:r>
      <w:r w:rsidRPr="00290591">
        <w:rPr>
          <w:lang w:val="en-GB"/>
        </w:rPr>
        <w:t> </w:t>
      </w:r>
      <w:proofErr w:type="spellStart"/>
      <w:r w:rsidRPr="00290591">
        <w:t>αδειοδόχο</w:t>
      </w:r>
      <w:proofErr w:type="spellEnd"/>
      <w:r w:rsidRPr="00290591">
        <w:rPr>
          <w:lang w:val="en-GB"/>
        </w:rPr>
        <w:t> </w:t>
      </w:r>
      <w:r w:rsidRPr="00290591">
        <w:t>έμμεσο οικονομικό όφελος (π.χ. διαφημίσεις) από την προβολή του έργου σε διαδικτυακό τόπο.</w:t>
      </w:r>
    </w:p>
    <w:p w:rsidR="00AE0C16" w:rsidRPr="00290591" w:rsidRDefault="00AE0C16" w:rsidP="00AE0C16">
      <w:pPr>
        <w:spacing w:after="600" w:line="276" w:lineRule="auto"/>
        <w:ind w:left="720" w:firstLine="0"/>
      </w:pPr>
      <w:r w:rsidRPr="00290591">
        <w:t xml:space="preserve">Ο δικαιούχος μπορεί να παρέχει στον </w:t>
      </w:r>
      <w:proofErr w:type="spellStart"/>
      <w:r w:rsidRPr="00290591">
        <w:t>αδειοδόχο</w:t>
      </w:r>
      <w:proofErr w:type="spellEnd"/>
      <w:r w:rsidRPr="00290591">
        <w:t xml:space="preserve"> ξεχωριστή άδεια να χρησιμοποιεί το έργο για εμπορική χρήση, εφόσον αυτό του ζητηθεί.</w:t>
      </w:r>
    </w:p>
    <w:p w:rsidR="00765808" w:rsidRPr="00290591" w:rsidRDefault="00765808" w:rsidP="00765808">
      <w:pPr>
        <w:spacing w:line="276" w:lineRule="auto"/>
        <w:rPr>
          <w:b/>
          <w:sz w:val="28"/>
          <w:lang w:eastAsia="en-US" w:bidi="en-US"/>
        </w:rPr>
      </w:pPr>
      <w:r w:rsidRPr="00290591">
        <w:rPr>
          <w:b/>
          <w:sz w:val="28"/>
          <w:lang w:eastAsia="en-US" w:bidi="en-US"/>
        </w:rPr>
        <w:t xml:space="preserve">Σημείωμα Χρήσης Έργων Τρίτων </w:t>
      </w:r>
    </w:p>
    <w:p w:rsidR="00765808" w:rsidRPr="00290591" w:rsidRDefault="00765808" w:rsidP="00765808">
      <w:pPr>
        <w:spacing w:after="240" w:line="276" w:lineRule="auto"/>
        <w:ind w:left="720" w:firstLine="0"/>
      </w:pPr>
      <w:r w:rsidRPr="00290591">
        <w:t>Το Έργο αυτό κάνει χρήση των ακόλουθων έργων:</w:t>
      </w:r>
    </w:p>
    <w:p w:rsidR="00765808" w:rsidRPr="00290591" w:rsidRDefault="003E2E65" w:rsidP="00765808">
      <w:pPr>
        <w:spacing w:line="276" w:lineRule="auto"/>
        <w:ind w:left="720" w:firstLine="0"/>
        <w:rPr>
          <w:u w:val="single"/>
        </w:rPr>
      </w:pPr>
      <w:r w:rsidRPr="00290591">
        <w:rPr>
          <w:u w:val="single"/>
        </w:rPr>
        <w:t>Εικόνες</w:t>
      </w:r>
    </w:p>
    <w:p w:rsidR="00765808" w:rsidRPr="00290591" w:rsidRDefault="00765808" w:rsidP="00765808">
      <w:pPr>
        <w:spacing w:after="0" w:line="276" w:lineRule="auto"/>
        <w:ind w:left="720" w:firstLine="0"/>
        <w:rPr>
          <w:color w:val="FF0000"/>
        </w:rPr>
      </w:pPr>
      <w:r w:rsidRPr="00290591">
        <w:rPr>
          <w:color w:val="FF0000"/>
        </w:rPr>
        <w:t>Εικόνα 1: &lt;αναφορά&gt;&lt;άδεια με την οποία διατίθεται&gt; &lt;</w:t>
      </w:r>
      <w:proofErr w:type="spellStart"/>
      <w:r w:rsidRPr="00290591">
        <w:rPr>
          <w:color w:val="FF0000"/>
        </w:rPr>
        <w:t>σύνδεσμος&gt;&lt;πηγή&gt;&lt;κ.τ.λ</w:t>
      </w:r>
      <w:proofErr w:type="spellEnd"/>
      <w:r w:rsidRPr="00290591">
        <w:rPr>
          <w:color w:val="FF0000"/>
        </w:rPr>
        <w:t>&gt;</w:t>
      </w:r>
    </w:p>
    <w:p w:rsidR="00765808" w:rsidRPr="00290591" w:rsidRDefault="00765808" w:rsidP="00765808">
      <w:pPr>
        <w:spacing w:line="276" w:lineRule="auto"/>
      </w:pPr>
    </w:p>
    <w:p w:rsidR="00765808" w:rsidRPr="00290591" w:rsidRDefault="00765808" w:rsidP="00765808">
      <w:pPr>
        <w:spacing w:line="276" w:lineRule="auto"/>
        <w:rPr>
          <w:u w:val="single"/>
        </w:rPr>
      </w:pPr>
      <w:r w:rsidRPr="00290591">
        <w:rPr>
          <w:u w:val="single"/>
        </w:rPr>
        <w:t>Πίνακες</w:t>
      </w:r>
    </w:p>
    <w:p w:rsidR="00765808" w:rsidRPr="00290591" w:rsidRDefault="00765808" w:rsidP="00765808">
      <w:pPr>
        <w:spacing w:after="0" w:line="276" w:lineRule="auto"/>
        <w:ind w:left="720" w:firstLine="0"/>
        <w:rPr>
          <w:color w:val="FF0000"/>
        </w:rPr>
      </w:pPr>
      <w:r w:rsidRPr="00290591">
        <w:rPr>
          <w:color w:val="FF0000"/>
        </w:rPr>
        <w:t>Πίνακας 1: &lt;αναφορά&gt;&lt;άδεια με την οποία διατίθεται&gt; &lt;</w:t>
      </w:r>
      <w:proofErr w:type="spellStart"/>
      <w:r w:rsidRPr="00290591">
        <w:rPr>
          <w:color w:val="FF0000"/>
        </w:rPr>
        <w:t>σύνδεσμος&gt;&lt;πηγή&gt;&lt;κ.τ.λ</w:t>
      </w:r>
      <w:proofErr w:type="spellEnd"/>
      <w:r w:rsidRPr="00290591">
        <w:rPr>
          <w:color w:val="FF0000"/>
        </w:rPr>
        <w:t>&gt;</w:t>
      </w:r>
    </w:p>
    <w:p w:rsidR="00D91C1A" w:rsidRDefault="00D91C1A" w:rsidP="00AE0C16">
      <w:pPr>
        <w:widowControl w:val="0"/>
        <w:spacing w:line="276" w:lineRule="auto"/>
        <w:rPr>
          <w:b/>
          <w:sz w:val="28"/>
          <w:lang w:eastAsia="en-US" w:bidi="en-US"/>
        </w:rPr>
      </w:pPr>
    </w:p>
    <w:p w:rsidR="00AE0C16" w:rsidRPr="00290591" w:rsidRDefault="00AE0C16" w:rsidP="00AE0C16">
      <w:pPr>
        <w:widowControl w:val="0"/>
        <w:spacing w:line="276" w:lineRule="auto"/>
        <w:rPr>
          <w:rFonts w:eastAsia="Calibri"/>
          <w:szCs w:val="22"/>
        </w:rPr>
      </w:pPr>
      <w:r w:rsidRPr="00290591">
        <w:rPr>
          <w:b/>
          <w:sz w:val="28"/>
          <w:lang w:eastAsia="en-US" w:bidi="en-US"/>
        </w:rPr>
        <w:t>Διατήρηση Σημειωμάτων</w:t>
      </w:r>
    </w:p>
    <w:p w:rsidR="00AE0C16" w:rsidRPr="00290591" w:rsidRDefault="00AE0C16" w:rsidP="00AE0C16">
      <w:pPr>
        <w:spacing w:line="276" w:lineRule="auto"/>
        <w:ind w:left="720" w:firstLine="0"/>
      </w:pPr>
      <w:r w:rsidRPr="00290591">
        <w:t>Οποιαδήποτε αναπαραγωγή ή διασκευή του υλικού θα πρέπει να συμπεριλαμβάνει:</w:t>
      </w:r>
    </w:p>
    <w:p w:rsidR="00AE0C16" w:rsidRPr="00290591" w:rsidRDefault="003E2E65" w:rsidP="00AE0C16">
      <w:pPr>
        <w:widowControl w:val="0"/>
        <w:numPr>
          <w:ilvl w:val="0"/>
          <w:numId w:val="11"/>
        </w:numPr>
        <w:spacing w:after="0" w:line="276" w:lineRule="auto"/>
        <w:contextualSpacing/>
      </w:pPr>
      <w:r w:rsidRPr="00290591">
        <w:t>το Σημείωμα Αναφοράς,</w:t>
      </w:r>
    </w:p>
    <w:p w:rsidR="00AE0C16" w:rsidRPr="00290591" w:rsidRDefault="00AE0C16" w:rsidP="00AE0C16">
      <w:pPr>
        <w:widowControl w:val="0"/>
        <w:numPr>
          <w:ilvl w:val="0"/>
          <w:numId w:val="11"/>
        </w:numPr>
        <w:spacing w:after="0" w:line="276" w:lineRule="auto"/>
        <w:contextualSpacing/>
      </w:pPr>
      <w:r w:rsidRPr="00290591">
        <w:t xml:space="preserve">το Σημείωμα </w:t>
      </w:r>
      <w:proofErr w:type="spellStart"/>
      <w:r w:rsidRPr="00290591">
        <w:t>Αδειοδότησης</w:t>
      </w:r>
      <w:proofErr w:type="spellEnd"/>
      <w:r w:rsidRPr="00290591">
        <w:t>,</w:t>
      </w:r>
    </w:p>
    <w:p w:rsidR="00AE0C16" w:rsidRPr="00290591" w:rsidRDefault="00AE0C16" w:rsidP="00AE0C16">
      <w:pPr>
        <w:widowControl w:val="0"/>
        <w:numPr>
          <w:ilvl w:val="0"/>
          <w:numId w:val="11"/>
        </w:numPr>
        <w:spacing w:after="0" w:line="276" w:lineRule="auto"/>
        <w:contextualSpacing/>
      </w:pPr>
      <w:r w:rsidRPr="00290591">
        <w:t>τη Δήλωση Διατήρησης Σημειωμάτων,</w:t>
      </w:r>
    </w:p>
    <w:p w:rsidR="00AE0C16" w:rsidRPr="00290591" w:rsidRDefault="00AE0C16" w:rsidP="00AE0C16">
      <w:pPr>
        <w:widowControl w:val="0"/>
        <w:numPr>
          <w:ilvl w:val="0"/>
          <w:numId w:val="11"/>
        </w:numPr>
        <w:spacing w:after="0" w:line="276" w:lineRule="auto"/>
        <w:contextualSpacing/>
      </w:pPr>
      <w:r w:rsidRPr="00290591">
        <w:t>το Σημείωμα Χρήσης Έργων Τρίτων (εφόσον υπάρχει).</w:t>
      </w:r>
    </w:p>
    <w:p w:rsidR="00AE0C16" w:rsidRPr="00290591" w:rsidRDefault="00AE0C16" w:rsidP="00AE0C16">
      <w:pPr>
        <w:spacing w:line="276" w:lineRule="auto"/>
        <w:ind w:left="720" w:firstLine="0"/>
      </w:pPr>
      <w:r w:rsidRPr="00290591">
        <w:t xml:space="preserve">μαζί με τους συνοδευόμενους </w:t>
      </w:r>
      <w:proofErr w:type="spellStart"/>
      <w:r w:rsidRPr="00290591">
        <w:t>υπερσυνδέσμους</w:t>
      </w:r>
      <w:proofErr w:type="spellEnd"/>
      <w:r w:rsidRPr="00290591">
        <w:t>.</w:t>
      </w:r>
    </w:p>
    <w:p w:rsidR="00AE0C16" w:rsidRPr="00290591" w:rsidRDefault="00AE0C16" w:rsidP="00AE0C16">
      <w:pPr>
        <w:widowControl w:val="0"/>
        <w:spacing w:after="0" w:line="240" w:lineRule="auto"/>
        <w:ind w:left="576" w:firstLine="0"/>
        <w:rPr>
          <w:rFonts w:eastAsia="Calibri"/>
          <w:szCs w:val="22"/>
          <w:lang w:eastAsia="en-US"/>
        </w:rPr>
      </w:pPr>
    </w:p>
    <w:p w:rsidR="00933620" w:rsidRPr="00290591" w:rsidRDefault="00933620" w:rsidP="003C5132">
      <w:pPr>
        <w:spacing w:line="276" w:lineRule="auto"/>
      </w:pPr>
    </w:p>
    <w:p w:rsidR="00F06809" w:rsidRPr="00290591" w:rsidRDefault="00F06809" w:rsidP="003C5132">
      <w:pPr>
        <w:spacing w:line="276" w:lineRule="auto"/>
      </w:pPr>
    </w:p>
    <w:sectPr w:rsidR="00F06809" w:rsidRPr="00290591" w:rsidSect="00423CA6">
      <w:footerReference w:type="default" r:id="rId1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DB" w:rsidRDefault="00A961DB" w:rsidP="007D3DBF">
      <w:pPr>
        <w:spacing w:after="0"/>
      </w:pPr>
      <w:r>
        <w:separator/>
      </w:r>
    </w:p>
  </w:endnote>
  <w:endnote w:type="continuationSeparator" w:id="0">
    <w:p w:rsidR="00A961DB" w:rsidRDefault="00A961DB"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C57" w:rsidRDefault="00290591">
    <w:pPr>
      <w:pStyle w:val="Footer"/>
      <w:pBdr>
        <w:top w:val="thinThickSmallGap" w:sz="24" w:space="1" w:color="622423" w:themeColor="accent2" w:themeShade="7F"/>
      </w:pBdr>
      <w:rPr>
        <w:rFonts w:asciiTheme="majorHAnsi" w:eastAsiaTheme="majorEastAsia" w:hAnsiTheme="majorHAnsi" w:cstheme="majorBidi"/>
      </w:rPr>
    </w:pPr>
    <w:r w:rsidRPr="00290591">
      <w:rPr>
        <w:rFonts w:asciiTheme="majorHAnsi" w:eastAsiaTheme="majorEastAsia" w:hAnsiTheme="majorHAnsi" w:cstheme="majorBidi"/>
        <w:b/>
      </w:rPr>
      <w:t xml:space="preserve">Βασικές Αρχές Λογιστικής </w:t>
    </w:r>
    <w:r w:rsidR="005D2C57">
      <w:rPr>
        <w:rFonts w:asciiTheme="majorHAnsi" w:eastAsiaTheme="majorEastAsia" w:hAnsiTheme="majorHAnsi" w:cstheme="majorBidi"/>
      </w:rPr>
      <w:ptab w:relativeTo="margin" w:alignment="right" w:leader="none"/>
    </w:r>
    <w:r w:rsidR="005D2C57">
      <w:rPr>
        <w:rFonts w:asciiTheme="majorHAnsi" w:eastAsiaTheme="majorEastAsia" w:hAnsiTheme="majorHAnsi" w:cstheme="majorBidi"/>
      </w:rPr>
      <w:t xml:space="preserve">Σελίδα </w:t>
    </w:r>
    <w:r w:rsidR="005D2C57">
      <w:rPr>
        <w:rFonts w:eastAsiaTheme="minorEastAsia" w:cstheme="minorBidi"/>
      </w:rPr>
      <w:fldChar w:fldCharType="begin"/>
    </w:r>
    <w:r w:rsidR="005D2C57">
      <w:instrText>PAGE   \* MERGEFORMAT</w:instrText>
    </w:r>
    <w:r w:rsidR="005D2C57">
      <w:rPr>
        <w:rFonts w:eastAsiaTheme="minorEastAsia" w:cstheme="minorBidi"/>
      </w:rPr>
      <w:fldChar w:fldCharType="separate"/>
    </w:r>
    <w:r w:rsidR="00630BD8" w:rsidRPr="00630BD8">
      <w:rPr>
        <w:rFonts w:asciiTheme="majorHAnsi" w:eastAsiaTheme="majorEastAsia" w:hAnsiTheme="majorHAnsi" w:cstheme="majorBidi"/>
        <w:noProof/>
      </w:rPr>
      <w:t>2</w:t>
    </w:r>
    <w:r w:rsidR="005D2C57">
      <w:rPr>
        <w:rFonts w:asciiTheme="majorHAnsi" w:eastAsiaTheme="majorEastAsia" w:hAnsiTheme="majorHAnsi" w:cstheme="majorBidi"/>
      </w:rPr>
      <w:fldChar w:fldCharType="end"/>
    </w:r>
  </w:p>
  <w:p w:rsidR="005D2C57" w:rsidRDefault="005D2C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DB" w:rsidRDefault="00A961DB" w:rsidP="007D3DBF">
      <w:pPr>
        <w:spacing w:after="0"/>
      </w:pPr>
      <w:r>
        <w:separator/>
      </w:r>
    </w:p>
  </w:footnote>
  <w:footnote w:type="continuationSeparator" w:id="0">
    <w:p w:rsidR="00A961DB" w:rsidRDefault="00A961DB" w:rsidP="007D3DBF">
      <w:pPr>
        <w:spacing w:after="0"/>
      </w:pPr>
      <w:r>
        <w:continuationSeparator/>
      </w:r>
    </w:p>
  </w:footnote>
  <w:footnote w:id="1">
    <w:p w:rsidR="00290591" w:rsidRPr="003A522C" w:rsidRDefault="00290591" w:rsidP="00290591">
      <w:pPr>
        <w:pStyle w:val="FootnoteText"/>
        <w:rPr>
          <w:rFonts w:ascii="Times New Roman" w:hAnsi="Times New Roman"/>
        </w:rPr>
      </w:pPr>
      <w:r w:rsidRPr="00895B56">
        <w:rPr>
          <w:rFonts w:ascii="Modern No. 20" w:hAnsi="Modern No. 20"/>
          <w:vertAlign w:val="superscript"/>
        </w:rPr>
        <w:t>[</w:t>
      </w:r>
      <w:r w:rsidRPr="003A522C">
        <w:rPr>
          <w:rFonts w:ascii="Modern No. 20" w:hAnsi="Modern No. 20"/>
          <w:vertAlign w:val="superscript"/>
          <w:lang w:val="en-US"/>
        </w:rPr>
        <w:t>I</w:t>
      </w:r>
      <w:r w:rsidRPr="003A522C">
        <w:rPr>
          <w:rFonts w:ascii="Modern No. 20" w:hAnsi="Modern No. 20"/>
          <w:vertAlign w:val="superscript"/>
        </w:rPr>
        <w:t>.</w:t>
      </w:r>
      <w:r w:rsidRPr="003A522C">
        <w:rPr>
          <w:rStyle w:val="FootnoteReference"/>
          <w:rFonts w:ascii="Modern No. 20" w:hAnsi="Modern No. 20"/>
        </w:rPr>
        <w:footnoteRef/>
      </w:r>
      <w:r w:rsidRPr="00895B56">
        <w:rPr>
          <w:rFonts w:ascii="Modern No. 20" w:hAnsi="Modern No. 20"/>
          <w:vertAlign w:val="superscript"/>
        </w:rPr>
        <w:t>]</w:t>
      </w:r>
      <w:r w:rsidRPr="003A522C">
        <w:rPr>
          <w:rFonts w:ascii="Times New Roman" w:hAnsi="Times New Roman"/>
        </w:rPr>
        <w:t xml:space="preserve"> </w:t>
      </w:r>
      <w:r w:rsidRPr="003A522C">
        <w:rPr>
          <w:rFonts w:ascii="Times New Roman" w:hAnsi="Times New Roman"/>
          <w:b/>
        </w:rPr>
        <w:t>Παρ.5.1.600 περ.3. Ε.Γ.Λ.Σ.</w:t>
      </w:r>
      <w:r w:rsidRPr="003A522C">
        <w:rPr>
          <w:rFonts w:ascii="Times New Roman" w:hAnsi="Times New Roman"/>
        </w:rPr>
        <w:t>: Κάθε στοιχείο του κόστους (δαπάνη), είτε πρόκειται για έξοδο της ομάδας 6, είτε πρόκειται για υλικό της ομάδας 2, καταχωρείται πρωταρχικά στον οικείο λογαριασμό των ομάδων αυτών, αρκεί να είναι οριστικό και βέβαιο.</w:t>
      </w:r>
    </w:p>
    <w:p w:rsidR="00290591" w:rsidRDefault="00290591" w:rsidP="00290591">
      <w:pPr>
        <w:pStyle w:val="FootnoteText"/>
        <w:rPr>
          <w:rFonts w:ascii="Times New Roman" w:hAnsi="Times New Roman"/>
        </w:rPr>
      </w:pPr>
      <w:r w:rsidRPr="003A522C">
        <w:rPr>
          <w:rFonts w:ascii="Times New Roman" w:hAnsi="Times New Roman"/>
        </w:rPr>
        <w:t xml:space="preserve"> Για να χαρακτηριστεί ένα στοιχείο κόστους σαν οριστικό, είναι απαραίτητη η ύπαρξη του παραστατικού (π.χ. τιμολογίου, φορτωτικής, αποδείξεως παροχής υπηρεσιών ή αποδείξεως επαγγελματικής δαπάνης) που προβλέπεται σε κάθε περίπτωση. Με βάση το δικαιολογητικό αυτό </w:t>
      </w:r>
      <w:proofErr w:type="spellStart"/>
      <w:r w:rsidRPr="003A522C">
        <w:rPr>
          <w:rFonts w:ascii="Times New Roman" w:hAnsi="Times New Roman"/>
        </w:rPr>
        <w:t>λογιστικοποιείται</w:t>
      </w:r>
      <w:proofErr w:type="spellEnd"/>
      <w:r w:rsidRPr="003A522C">
        <w:rPr>
          <w:rFonts w:ascii="Times New Roman" w:hAnsi="Times New Roman"/>
        </w:rPr>
        <w:t xml:space="preserve"> κάθε στοιχείο κόστους.</w:t>
      </w: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Default="00290591" w:rsidP="00290591">
      <w:pPr>
        <w:pStyle w:val="FootnoteText"/>
        <w:rPr>
          <w:rFonts w:ascii="Times New Roman" w:hAnsi="Times New Roman"/>
        </w:rPr>
      </w:pPr>
    </w:p>
    <w:p w:rsidR="00290591" w:rsidRPr="003A522C" w:rsidRDefault="00290591" w:rsidP="00290591">
      <w:pPr>
        <w:pStyle w:val="FootnoteText"/>
        <w:rPr>
          <w:rFonts w:ascii="Times New Roman" w:hAnsi="Times New Roman"/>
        </w:rPr>
      </w:pPr>
    </w:p>
    <w:p w:rsidR="00290591" w:rsidRPr="003A522C" w:rsidRDefault="00290591" w:rsidP="00290591">
      <w:pPr>
        <w:pStyle w:val="FootnoteText"/>
        <w:ind w:firstLine="0"/>
        <w:rPr>
          <w:rFonts w:ascii="Times New Roman" w:hAnsi="Times New Roman"/>
        </w:rPr>
      </w:pPr>
      <w:r w:rsidRPr="003A522C">
        <w:rPr>
          <w:rFonts w:ascii="Times New Roman" w:hAnsi="Times New Roman"/>
        </w:rPr>
        <w:t> Απόκλιση στη βασική αρχή της υπάρξεως παραστατικού, αποδεικτικού πραγματοποιήσεως του κόστους, αποτελούν οι ακόλουθες περιπτώσεις:</w:t>
      </w:r>
    </w:p>
    <w:p w:rsidR="00290591" w:rsidRPr="003A522C" w:rsidRDefault="00290591" w:rsidP="00290591">
      <w:pPr>
        <w:pStyle w:val="FootnoteText"/>
        <w:ind w:firstLine="142"/>
        <w:rPr>
          <w:rFonts w:ascii="Times New Roman" w:hAnsi="Times New Roman"/>
        </w:rPr>
      </w:pPr>
      <w:r w:rsidRPr="003A522C">
        <w:rPr>
          <w:rFonts w:ascii="Times New Roman" w:hAnsi="Times New Roman"/>
        </w:rPr>
        <w:t>α. Όταν το παραστατικό εκδίδεται με χρονική καθυστέρηση, όπως π.χ. στην περίπτωση λογαριασμών ηλεκτρικού ρεύματος ή τηλεφώνου κλπ., που τα παραστατικά (λογαριασμοί ΔΕΗ ή ΟΤΕ) εκδίδονται κάθε δύο μήνες, ή στην περίπτωση τόκων τραπεζικών χρηματοδοτήσεων που υπολογίζονται στο τέλος κάθε τριμήνου ή εξαμήνου.</w:t>
      </w:r>
    </w:p>
    <w:p w:rsidR="00290591" w:rsidRPr="003A522C" w:rsidRDefault="00290591" w:rsidP="00290591">
      <w:pPr>
        <w:pStyle w:val="FootnoteText"/>
        <w:ind w:firstLine="142"/>
        <w:rPr>
          <w:rFonts w:ascii="Times New Roman" w:hAnsi="Times New Roman"/>
        </w:rPr>
      </w:pPr>
      <w:r w:rsidRPr="003A522C">
        <w:rPr>
          <w:rFonts w:ascii="Times New Roman" w:hAnsi="Times New Roman"/>
        </w:rPr>
        <w:t>β. Όταν, μολονότι η έκδοση του παραστατικού γίνεται κανονικά, καθυστερεί να φτάσει τούτο στα χέρια του ενδιαφερομένου, όπως π.χ. στην περίπτωση που ο εκδότης το στείλει σε λανθασμένη διεύθυνση ή το παραστατικό χαθεί κατά τη διακίνησή του.</w:t>
      </w:r>
    </w:p>
    <w:p w:rsidR="00290591" w:rsidRDefault="00290591" w:rsidP="00290591">
      <w:pPr>
        <w:pStyle w:val="FootnoteText"/>
        <w:ind w:firstLine="142"/>
        <w:rPr>
          <w:rFonts w:ascii="Times New Roman" w:hAnsi="Times New Roman"/>
        </w:rPr>
      </w:pPr>
      <w:r w:rsidRPr="003A522C">
        <w:rPr>
          <w:rFonts w:ascii="Times New Roman" w:hAnsi="Times New Roman"/>
        </w:rPr>
        <w:t>γ. Όταν καθυστερεί η έκδοση του παραστατικού επειδή το ύψος του κόστους δεν είναι απόλυτα προσδιορισμένο, όπως π.χ. στην περίπτωση που αμφισβητείται το ύψος των επιδομάτων παραγωγής και για το λόγο αυτό καθυστερεί η σύνταξη της σχετικής καταστάσεως μέχρι να οριστικοποιηθούν ή στην περίπτωση που αμφισβητείται το ύψος αμοιβής τρίτου και καθυστερεί η έκδοση του σχετικού παραστατικού.</w:t>
      </w:r>
    </w:p>
    <w:p w:rsidR="00290591" w:rsidRPr="003A522C" w:rsidRDefault="00290591" w:rsidP="00290591">
      <w:pPr>
        <w:pStyle w:val="FootnoteText"/>
        <w:ind w:firstLine="142"/>
        <w:rPr>
          <w:rFonts w:ascii="Times New Roman" w:hAnsi="Times New Roman"/>
        </w:rPr>
      </w:pPr>
      <w:r w:rsidRPr="003A522C">
        <w:rPr>
          <w:rFonts w:ascii="Times New Roman" w:hAnsi="Times New Roman"/>
        </w:rPr>
        <w:t>δ. Όταν το κόστος δεν είναι κατά προσέγγιση γνωστό, αλλ' απλώς πιθανολογείται κάποιο αριθμητικό του μέγεθος, όπως π.χ. στις περιπτώσεις που γίνονται προβλέψεις για την πραγματοποίηση κόστους που πιθανολογείται ότι θα πραγματοποιηθεί.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56C0910"/>
    <w:multiLevelType w:val="hybridMultilevel"/>
    <w:tmpl w:val="DFD8FD90"/>
    <w:lvl w:ilvl="0" w:tplc="F0F0BCEA">
      <w:start w:val="1"/>
      <w:numFmt w:val="decimal"/>
      <w:lvlText w:val="%1."/>
      <w:lvlJc w:val="left"/>
      <w:pPr>
        <w:tabs>
          <w:tab w:val="num" w:pos="1849"/>
        </w:tabs>
        <w:ind w:left="1849" w:hanging="1140"/>
      </w:pPr>
      <w:rPr>
        <w:rFonts w:hint="default"/>
        <w:b/>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3">
    <w:nsid w:val="18150860"/>
    <w:multiLevelType w:val="hybridMultilevel"/>
    <w:tmpl w:val="095EBBC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FA2422E"/>
    <w:multiLevelType w:val="hybridMultilevel"/>
    <w:tmpl w:val="2F24F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29FD18CC"/>
    <w:multiLevelType w:val="hybridMultilevel"/>
    <w:tmpl w:val="008A07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nsid w:val="45A624D6"/>
    <w:multiLevelType w:val="hybridMultilevel"/>
    <w:tmpl w:val="E9D42E44"/>
    <w:lvl w:ilvl="0" w:tplc="2D06A50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2"/>
  </w:num>
  <w:num w:numId="5">
    <w:abstractNumId w:val="5"/>
  </w:num>
  <w:num w:numId="6">
    <w:abstractNumId w:val="3"/>
  </w:num>
  <w:num w:numId="7">
    <w:abstractNumId w:val="6"/>
  </w:num>
  <w:num w:numId="8">
    <w:abstractNumId w:val="4"/>
  </w:num>
  <w:num w:numId="9">
    <w:abstractNumId w:val="8"/>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A6A4F"/>
    <w:rsid w:val="000E1BD7"/>
    <w:rsid w:val="00120429"/>
    <w:rsid w:val="00123D92"/>
    <w:rsid w:val="001448EB"/>
    <w:rsid w:val="001652D1"/>
    <w:rsid w:val="001B56B5"/>
    <w:rsid w:val="001D020B"/>
    <w:rsid w:val="00212E5E"/>
    <w:rsid w:val="00230D28"/>
    <w:rsid w:val="00231DC4"/>
    <w:rsid w:val="00232C9C"/>
    <w:rsid w:val="00253497"/>
    <w:rsid w:val="00290591"/>
    <w:rsid w:val="002C6EFD"/>
    <w:rsid w:val="00346422"/>
    <w:rsid w:val="00351F8D"/>
    <w:rsid w:val="00353C80"/>
    <w:rsid w:val="003573BB"/>
    <w:rsid w:val="003C1AD5"/>
    <w:rsid w:val="003C5132"/>
    <w:rsid w:val="003E2E65"/>
    <w:rsid w:val="003F6A79"/>
    <w:rsid w:val="00423CA6"/>
    <w:rsid w:val="004553EC"/>
    <w:rsid w:val="00457DBF"/>
    <w:rsid w:val="004A6DFE"/>
    <w:rsid w:val="004D2E5B"/>
    <w:rsid w:val="005A452D"/>
    <w:rsid w:val="005B4615"/>
    <w:rsid w:val="005B5EE2"/>
    <w:rsid w:val="005D2C57"/>
    <w:rsid w:val="005F63FF"/>
    <w:rsid w:val="00601650"/>
    <w:rsid w:val="00630BD8"/>
    <w:rsid w:val="00655D0D"/>
    <w:rsid w:val="00671B54"/>
    <w:rsid w:val="00672AA4"/>
    <w:rsid w:val="006B7F81"/>
    <w:rsid w:val="006D4070"/>
    <w:rsid w:val="006D7447"/>
    <w:rsid w:val="006E7210"/>
    <w:rsid w:val="0070010D"/>
    <w:rsid w:val="00765808"/>
    <w:rsid w:val="0079794E"/>
    <w:rsid w:val="007D3DBF"/>
    <w:rsid w:val="007D7F12"/>
    <w:rsid w:val="00803814"/>
    <w:rsid w:val="008108F2"/>
    <w:rsid w:val="00826458"/>
    <w:rsid w:val="00833250"/>
    <w:rsid w:val="008367AD"/>
    <w:rsid w:val="008671A5"/>
    <w:rsid w:val="00884117"/>
    <w:rsid w:val="008F3BBF"/>
    <w:rsid w:val="009023FE"/>
    <w:rsid w:val="00910218"/>
    <w:rsid w:val="00915B3E"/>
    <w:rsid w:val="00933620"/>
    <w:rsid w:val="009376C1"/>
    <w:rsid w:val="009551CD"/>
    <w:rsid w:val="009766D8"/>
    <w:rsid w:val="009A19EE"/>
    <w:rsid w:val="009A5FD4"/>
    <w:rsid w:val="009C7B63"/>
    <w:rsid w:val="009D6ACB"/>
    <w:rsid w:val="009F2FC3"/>
    <w:rsid w:val="00A10BA7"/>
    <w:rsid w:val="00A330F5"/>
    <w:rsid w:val="00A961DB"/>
    <w:rsid w:val="00AB454D"/>
    <w:rsid w:val="00AE0C16"/>
    <w:rsid w:val="00B60AE4"/>
    <w:rsid w:val="00B662CD"/>
    <w:rsid w:val="00B9005A"/>
    <w:rsid w:val="00BB1110"/>
    <w:rsid w:val="00C03CF4"/>
    <w:rsid w:val="00C235A7"/>
    <w:rsid w:val="00C933E6"/>
    <w:rsid w:val="00CB207B"/>
    <w:rsid w:val="00CB7DD8"/>
    <w:rsid w:val="00CD3A99"/>
    <w:rsid w:val="00CF3BE3"/>
    <w:rsid w:val="00D56F2B"/>
    <w:rsid w:val="00D71F28"/>
    <w:rsid w:val="00D72BB2"/>
    <w:rsid w:val="00D86844"/>
    <w:rsid w:val="00D91C1A"/>
    <w:rsid w:val="00DA349E"/>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1F22"/>
    <w:rsid w:val="00E70265"/>
    <w:rsid w:val="00E76A66"/>
    <w:rsid w:val="00E77A76"/>
    <w:rsid w:val="00E85E04"/>
    <w:rsid w:val="00EA70E4"/>
    <w:rsid w:val="00EC522F"/>
    <w:rsid w:val="00ED35D7"/>
    <w:rsid w:val="00EE524B"/>
    <w:rsid w:val="00EF171E"/>
    <w:rsid w:val="00F06809"/>
    <w:rsid w:val="00F17A0F"/>
    <w:rsid w:val="00F52F6C"/>
    <w:rsid w:val="00F816A6"/>
    <w:rsid w:val="00FA2A3E"/>
    <w:rsid w:val="00FB7626"/>
    <w:rsid w:val="00FB78EF"/>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semiHidden/>
    <w:unhideWhenUsed/>
    <w:rsid w:val="007D3DBF"/>
    <w:pPr>
      <w:spacing w:after="0"/>
    </w:pPr>
    <w:rPr>
      <w:sz w:val="20"/>
    </w:rPr>
  </w:style>
  <w:style w:type="character" w:customStyle="1" w:styleId="FootnoteTextChar">
    <w:name w:val="Footnote Text Char"/>
    <w:basedOn w:val="DefaultParagraphFont"/>
    <w:link w:val="FootnoteText"/>
    <w:uiPriority w:val="99"/>
    <w:semiHidden/>
    <w:rsid w:val="007D3DBF"/>
    <w:rPr>
      <w:rFonts w:ascii="Arial" w:eastAsia="Times New Roman" w:hAnsi="Arial" w:cs="Times New Roman"/>
      <w:sz w:val="20"/>
      <w:szCs w:val="20"/>
      <w:lang w:eastAsia="el-GR"/>
    </w:rPr>
  </w:style>
  <w:style w:type="character" w:styleId="FootnoteReference">
    <w:name w:val="footnote reference"/>
    <w:uiPriority w:val="99"/>
    <w:semiHidden/>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semiHidden/>
    <w:unhideWhenUsed/>
    <w:rsid w:val="007D3DBF"/>
    <w:pPr>
      <w:spacing w:after="0"/>
    </w:pPr>
    <w:rPr>
      <w:sz w:val="20"/>
    </w:rPr>
  </w:style>
  <w:style w:type="character" w:customStyle="1" w:styleId="FootnoteTextChar">
    <w:name w:val="Footnote Text Char"/>
    <w:basedOn w:val="DefaultParagraphFont"/>
    <w:link w:val="FootnoteText"/>
    <w:uiPriority w:val="99"/>
    <w:semiHidden/>
    <w:rsid w:val="007D3DBF"/>
    <w:rPr>
      <w:rFonts w:ascii="Arial" w:eastAsia="Times New Roman" w:hAnsi="Arial" w:cs="Times New Roman"/>
      <w:sz w:val="20"/>
      <w:szCs w:val="20"/>
      <w:lang w:eastAsia="el-GR"/>
    </w:rPr>
  </w:style>
  <w:style w:type="character" w:styleId="FootnoteReference">
    <w:name w:val="footnote reference"/>
    <w:uiPriority w:val="99"/>
    <w:semiHidden/>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9F2FC3"/>
    <w:pPr>
      <w:spacing w:after="100"/>
    </w:pPr>
  </w:style>
  <w:style w:type="paragraph" w:styleId="TOC2">
    <w:name w:val="toc 2"/>
    <w:basedOn w:val="Normal"/>
    <w:next w:val="Normal"/>
    <w:autoRedefine/>
    <w:uiPriority w:val="39"/>
    <w:unhideWhenUsed/>
    <w:rsid w:val="00E1034F"/>
    <w:pPr>
      <w:tabs>
        <w:tab w:val="right" w:leader="dot" w:pos="9016"/>
      </w:tabs>
      <w:spacing w:after="100"/>
      <w:ind w:left="993" w:hanging="33"/>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creativecommons.org/licenses/by-nc-sa/4.0/deed.e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hyperlink" Target="http://cdev.teilar.gr/cours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hyperlink" Target="http://www.teilar.g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creativecommons.org/licenses/by-nc-sa/4.0/deed.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914B1-E9A3-40BE-B5AD-60C00CC99759}">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05605AF0-97A7-4734-9D3F-A4FA6CFE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1136</Words>
  <Characters>7072</Characters>
  <Application>Microsoft Office Word</Application>
  <DocSecurity>0</DocSecurity>
  <Lines>235</Lines>
  <Paragraphs>91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12</cp:revision>
  <dcterms:created xsi:type="dcterms:W3CDTF">2014-09-20T16:11:00Z</dcterms:created>
  <dcterms:modified xsi:type="dcterms:W3CDTF">2016-01-26T11:26:00Z</dcterms:modified>
</cp:coreProperties>
</file>