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BF" w:rsidRPr="0090687C" w:rsidRDefault="007D3DBF" w:rsidP="009023FE">
      <w:pPr>
        <w:spacing w:after="1440"/>
        <w:rPr>
          <w:rFonts w:eastAsia="Calibri" w:cs="Arial"/>
          <w:sz w:val="16"/>
        </w:rPr>
      </w:pPr>
    </w:p>
    <w:p w:rsidR="007D3DBF" w:rsidRPr="0090687C" w:rsidRDefault="007D3DBF" w:rsidP="007D3DBF">
      <w:pPr>
        <w:pBdr>
          <w:bottom w:val="single" w:sz="24" w:space="1" w:color="auto"/>
        </w:pBdr>
        <w:tabs>
          <w:tab w:val="left" w:pos="6660"/>
        </w:tabs>
        <w:rPr>
          <w:rFonts w:eastAsia="Calibri" w:cs="Arial"/>
          <w:sz w:val="32"/>
        </w:rPr>
      </w:pPr>
      <w:r w:rsidRPr="0090687C">
        <w:rPr>
          <w:rFonts w:eastAsia="Calibri" w:cs="Arial"/>
          <w:noProof/>
          <w:sz w:val="72"/>
          <w:lang w:eastAsia="el-GR"/>
        </w:rPr>
        <w:drawing>
          <wp:inline distT="0" distB="0" distL="0" distR="0" wp14:anchorId="47A92AF2" wp14:editId="3FE15198">
            <wp:extent cx="4152900" cy="1438275"/>
            <wp:effectExtent l="0" t="0" r="0" b="9525"/>
            <wp:docPr id="1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BF" w:rsidRPr="0090687C" w:rsidRDefault="007D3DBF" w:rsidP="007D3DBF">
      <w:pPr>
        <w:pBdr>
          <w:bottom w:val="single" w:sz="24" w:space="1" w:color="auto"/>
        </w:pBdr>
        <w:tabs>
          <w:tab w:val="left" w:pos="6660"/>
        </w:tabs>
        <w:rPr>
          <w:rFonts w:eastAsia="Calibri" w:cs="Arial"/>
          <w:sz w:val="12"/>
        </w:rPr>
      </w:pPr>
    </w:p>
    <w:p w:rsidR="007D3DBF" w:rsidRPr="0090687C" w:rsidRDefault="007D3DBF" w:rsidP="007D3DBF">
      <w:pPr>
        <w:spacing w:after="600"/>
        <w:rPr>
          <w:rFonts w:eastAsia="Calibri" w:cs="Arial"/>
          <w:sz w:val="16"/>
        </w:rPr>
      </w:pPr>
    </w:p>
    <w:p w:rsidR="00016678" w:rsidRPr="00FE507A" w:rsidRDefault="00FE507A" w:rsidP="0070010D">
      <w:pPr>
        <w:rPr>
          <w:rFonts w:eastAsiaTheme="majorEastAsia" w:cstheme="majorBidi"/>
          <w:b/>
          <w:spacing w:val="5"/>
          <w:kern w:val="28"/>
          <w:sz w:val="28"/>
          <w:szCs w:val="28"/>
        </w:rPr>
      </w:pPr>
      <w:r>
        <w:rPr>
          <w:rFonts w:eastAsiaTheme="majorEastAsia" w:cstheme="majorBidi"/>
          <w:b/>
          <w:spacing w:val="5"/>
          <w:kern w:val="28"/>
          <w:sz w:val="28"/>
          <w:szCs w:val="28"/>
        </w:rPr>
        <w:t>Χρημα</w:t>
      </w:r>
      <w:r w:rsidR="00016678" w:rsidRPr="00FE507A">
        <w:rPr>
          <w:rFonts w:eastAsiaTheme="majorEastAsia" w:cstheme="majorBidi"/>
          <w:b/>
          <w:spacing w:val="5"/>
          <w:kern w:val="28"/>
          <w:sz w:val="28"/>
          <w:szCs w:val="28"/>
        </w:rPr>
        <w:t>τοοικονομική Λογιστική</w:t>
      </w:r>
    </w:p>
    <w:p w:rsidR="007D3DBF" w:rsidRPr="00FE507A" w:rsidRDefault="009F2FC3" w:rsidP="0070010D">
      <w:pPr>
        <w:rPr>
          <w:rFonts w:eastAsia="Calibri"/>
          <w:sz w:val="24"/>
          <w:szCs w:val="24"/>
        </w:rPr>
      </w:pPr>
      <w:r w:rsidRPr="00FE507A">
        <w:rPr>
          <w:rFonts w:eastAsia="Calibri"/>
          <w:b/>
          <w:sz w:val="24"/>
          <w:szCs w:val="24"/>
        </w:rPr>
        <w:t xml:space="preserve">Ενότητα </w:t>
      </w:r>
      <w:r w:rsidR="00716A1A" w:rsidRPr="00FE507A">
        <w:rPr>
          <w:rFonts w:eastAsia="Calibri"/>
          <w:b/>
          <w:sz w:val="24"/>
          <w:szCs w:val="24"/>
        </w:rPr>
        <w:t>1</w:t>
      </w:r>
      <w:r w:rsidR="00D0763F" w:rsidRPr="00FE507A">
        <w:rPr>
          <w:rFonts w:eastAsia="Calibri"/>
          <w:b/>
          <w:sz w:val="24"/>
          <w:szCs w:val="24"/>
        </w:rPr>
        <w:t>4</w:t>
      </w:r>
      <w:r w:rsidR="007D3DBF" w:rsidRPr="00FE507A">
        <w:rPr>
          <w:rFonts w:eastAsia="Calibri"/>
          <w:b/>
          <w:sz w:val="24"/>
          <w:szCs w:val="24"/>
        </w:rPr>
        <w:t>:</w:t>
      </w:r>
      <w:r w:rsidR="00394035" w:rsidRPr="00FE507A">
        <w:rPr>
          <w:sz w:val="24"/>
          <w:szCs w:val="24"/>
        </w:rPr>
        <w:t xml:space="preserve"> </w:t>
      </w:r>
      <w:r w:rsidR="00D0763F" w:rsidRPr="00FE507A">
        <w:rPr>
          <w:rFonts w:eastAsia="Calibri"/>
          <w:sz w:val="24"/>
          <w:szCs w:val="24"/>
        </w:rPr>
        <w:t>Κατάσταση Λογαριασμού «Αποτελέσματα Χρήσης»</w:t>
      </w:r>
    </w:p>
    <w:p w:rsidR="007D3DBF" w:rsidRPr="00FE507A" w:rsidRDefault="005337E0" w:rsidP="0070010D">
      <w:pPr>
        <w:rPr>
          <w:rFonts w:eastAsia="Calibri"/>
          <w:sz w:val="24"/>
          <w:szCs w:val="24"/>
        </w:rPr>
      </w:pPr>
      <w:r w:rsidRPr="005337E0">
        <w:rPr>
          <w:rFonts w:eastAsia="Calibri"/>
          <w:sz w:val="24"/>
          <w:szCs w:val="24"/>
        </w:rPr>
        <w:t>Παπαγεωργίου Γεώργιος, Έκτακτος Καθηγητής</w:t>
      </w:r>
      <w:bookmarkStart w:id="0" w:name="_GoBack"/>
      <w:bookmarkEnd w:id="0"/>
    </w:p>
    <w:p w:rsidR="00915B3E" w:rsidRPr="00FE507A" w:rsidRDefault="00915B3E" w:rsidP="00E06BC6">
      <w:pPr>
        <w:spacing w:after="0"/>
        <w:rPr>
          <w:rFonts w:eastAsia="Calibri"/>
          <w:sz w:val="24"/>
          <w:szCs w:val="24"/>
        </w:rPr>
      </w:pPr>
      <w:r w:rsidRPr="00FE507A">
        <w:rPr>
          <w:rFonts w:eastAsia="Calibri"/>
          <w:sz w:val="24"/>
          <w:szCs w:val="24"/>
        </w:rPr>
        <w:t>Σχολή Τεχνολογικών Εφαρμογών</w:t>
      </w:r>
    </w:p>
    <w:p w:rsidR="007D3DBF" w:rsidRPr="00FE507A" w:rsidRDefault="007D3DBF" w:rsidP="0070010D">
      <w:pPr>
        <w:rPr>
          <w:rFonts w:eastAsia="Calibri"/>
          <w:sz w:val="24"/>
          <w:szCs w:val="24"/>
        </w:rPr>
      </w:pPr>
      <w:r w:rsidRPr="00FE507A">
        <w:rPr>
          <w:rFonts w:eastAsia="Calibri"/>
          <w:sz w:val="24"/>
          <w:szCs w:val="24"/>
        </w:rPr>
        <w:t xml:space="preserve">Τμήμα </w:t>
      </w:r>
      <w:r w:rsidR="00016678" w:rsidRPr="00FE507A">
        <w:rPr>
          <w:rFonts w:eastAsia="Calibri"/>
          <w:sz w:val="24"/>
          <w:szCs w:val="24"/>
        </w:rPr>
        <w:t>Λογιστικής και Χρηματοοικονομικής</w:t>
      </w:r>
    </w:p>
    <w:p w:rsidR="007D3DBF" w:rsidRPr="0090687C" w:rsidRDefault="007D3DBF" w:rsidP="007D3DBF">
      <w:pPr>
        <w:pBdr>
          <w:bottom w:val="single" w:sz="24" w:space="1" w:color="auto"/>
        </w:pBdr>
        <w:rPr>
          <w:rFonts w:eastAsia="Calibri" w:cs="Arial"/>
          <w:sz w:val="12"/>
        </w:rPr>
      </w:pPr>
    </w:p>
    <w:p w:rsidR="007D3DBF" w:rsidRPr="0090687C" w:rsidRDefault="007D3DBF" w:rsidP="0070010D">
      <w:pPr>
        <w:spacing w:after="240"/>
        <w:rPr>
          <w:rFonts w:eastAsia="Calibri" w:cs="Arial"/>
          <w:sz w:val="16"/>
          <w:lang w:bidi="en-US"/>
        </w:rPr>
      </w:pPr>
      <w:bookmarkStart w:id="1" w:name="_Toc367176340"/>
      <w:bookmarkStart w:id="2" w:name="_Toc367132085"/>
      <w:bookmarkStart w:id="3" w:name="_Toc367101078"/>
      <w:bookmarkStart w:id="4" w:name="_Toc367101036"/>
      <w:bookmarkStart w:id="5" w:name="_Toc367100747"/>
      <w:r w:rsidRPr="0090687C">
        <w:rPr>
          <w:rFonts w:eastAsia="Calibri"/>
          <w:sz w:val="16"/>
          <w:lang w:bidi="en-US"/>
        </w:rPr>
        <w:br w:type="page"/>
      </w:r>
      <w:bookmarkStart w:id="6" w:name="_Toc367132086"/>
      <w:bookmarkStart w:id="7" w:name="_Toc367101079"/>
      <w:bookmarkStart w:id="8" w:name="_Toc367101037"/>
      <w:bookmarkStart w:id="9" w:name="_Toc367100748"/>
      <w:bookmarkStart w:id="10" w:name="_Toc367696167"/>
      <w:bookmarkStart w:id="11" w:name="_Toc367695639"/>
      <w:bookmarkStart w:id="12" w:name="_Toc367391117"/>
      <w:bookmarkStart w:id="13" w:name="_Toc367176341"/>
      <w:bookmarkEnd w:id="1"/>
      <w:bookmarkEnd w:id="2"/>
      <w:bookmarkEnd w:id="3"/>
      <w:bookmarkEnd w:id="4"/>
      <w:bookmarkEnd w:id="5"/>
      <w:r w:rsidRPr="0090687C">
        <w:rPr>
          <w:rFonts w:eastAsia="Calibri"/>
          <w:b/>
          <w:sz w:val="20"/>
        </w:rPr>
        <w:lastRenderedPageBreak/>
        <w:t>Χρηματοδότηση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7D3DBF" w:rsidRPr="0090687C" w:rsidRDefault="007D3DBF" w:rsidP="00D5283B">
      <w:pPr>
        <w:pStyle w:val="ListParagraph"/>
        <w:numPr>
          <w:ilvl w:val="0"/>
          <w:numId w:val="1"/>
        </w:numPr>
        <w:rPr>
          <w:rFonts w:eastAsia="Calibri"/>
          <w:sz w:val="16"/>
          <w:lang w:bidi="en-US"/>
        </w:rPr>
      </w:pPr>
      <w:r w:rsidRPr="0090687C">
        <w:rPr>
          <w:rFonts w:eastAsia="Calibri"/>
          <w:sz w:val="16"/>
          <w:lang w:bidi="en-US"/>
        </w:rPr>
        <w:t>Το παρόν εκπαιδ</w:t>
      </w:r>
      <w:r w:rsidR="00E06BC6" w:rsidRPr="0090687C">
        <w:rPr>
          <w:rFonts w:eastAsia="Calibri"/>
          <w:sz w:val="16"/>
          <w:lang w:bidi="en-US"/>
        </w:rPr>
        <w:t>ευτικό υλικό έχει αναπτυχθεί στο πλαίσιο</w:t>
      </w:r>
      <w:r w:rsidRPr="0090687C">
        <w:rPr>
          <w:rFonts w:eastAsia="Calibri"/>
          <w:sz w:val="16"/>
          <w:lang w:bidi="en-US"/>
        </w:rPr>
        <w:t xml:space="preserve"> του εκπαιδευτικού έργου του διδάσκοντα.</w:t>
      </w:r>
    </w:p>
    <w:p w:rsidR="007D3DBF" w:rsidRPr="0090687C" w:rsidRDefault="007D3DBF" w:rsidP="00D5283B">
      <w:pPr>
        <w:pStyle w:val="ListParagraph"/>
        <w:numPr>
          <w:ilvl w:val="0"/>
          <w:numId w:val="1"/>
        </w:numPr>
        <w:rPr>
          <w:rFonts w:eastAsia="Calibri"/>
          <w:sz w:val="16"/>
        </w:rPr>
      </w:pPr>
      <w:r w:rsidRPr="0090687C">
        <w:rPr>
          <w:rFonts w:eastAsia="Calibri"/>
          <w:sz w:val="16"/>
        </w:rPr>
        <w:t>Το έργο «</w:t>
      </w:r>
      <w:r w:rsidRPr="0090687C">
        <w:rPr>
          <w:rFonts w:eastAsia="Calibri"/>
          <w:b/>
          <w:bCs/>
          <w:sz w:val="16"/>
        </w:rPr>
        <w:t>Ανοικτά Ακαδημαϊκά Μαθήματα στο Τ.Ε.Ι. Θεσσαλίας</w:t>
      </w:r>
      <w:r w:rsidRPr="0090687C">
        <w:rPr>
          <w:rFonts w:eastAsia="Calibri"/>
          <w:sz w:val="16"/>
        </w:rPr>
        <w:t>» έχει χρηματοδοτήσει μόνο τη</w:t>
      </w:r>
      <w:r w:rsidR="0070010D" w:rsidRPr="0090687C">
        <w:rPr>
          <w:rFonts w:eastAsia="Calibri"/>
          <w:sz w:val="16"/>
        </w:rPr>
        <w:t>ν</w:t>
      </w:r>
      <w:r w:rsidRPr="0090687C">
        <w:rPr>
          <w:rFonts w:eastAsia="Calibri"/>
          <w:sz w:val="16"/>
        </w:rPr>
        <w:t xml:space="preserve"> αναδιαμόρφωση του εκπαιδευτικού υλικού. </w:t>
      </w:r>
    </w:p>
    <w:p w:rsidR="007D3DBF" w:rsidRPr="0090687C" w:rsidRDefault="007D3DBF" w:rsidP="00D5283B">
      <w:pPr>
        <w:pStyle w:val="ListParagraph"/>
        <w:numPr>
          <w:ilvl w:val="0"/>
          <w:numId w:val="1"/>
        </w:numPr>
        <w:rPr>
          <w:rFonts w:eastAsia="Calibri"/>
          <w:sz w:val="16"/>
          <w:lang w:bidi="en-US"/>
        </w:rPr>
      </w:pPr>
      <w:r w:rsidRPr="0090687C">
        <w:rPr>
          <w:rFonts w:eastAsia="Calibri"/>
          <w:sz w:val="16"/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7D3DBF" w:rsidRPr="0090687C" w:rsidRDefault="007D3DBF" w:rsidP="007D3DBF">
      <w:pPr>
        <w:spacing w:after="0"/>
        <w:rPr>
          <w:rFonts w:cs="Arial"/>
          <w:sz w:val="16"/>
          <w:lang w:bidi="en-US"/>
        </w:rPr>
      </w:pPr>
    </w:p>
    <w:p w:rsidR="007D3DBF" w:rsidRPr="0090687C" w:rsidRDefault="007D3DBF" w:rsidP="007D3DBF">
      <w:pPr>
        <w:rPr>
          <w:rFonts w:cs="Arial"/>
          <w:noProof/>
          <w:sz w:val="14"/>
          <w:lang w:val="en-US"/>
        </w:rPr>
      </w:pPr>
      <w:r w:rsidRPr="0090687C">
        <w:rPr>
          <w:rFonts w:cs="Arial"/>
          <w:noProof/>
          <w:sz w:val="14"/>
          <w:lang w:eastAsia="el-GR"/>
        </w:rPr>
        <w:drawing>
          <wp:inline distT="0" distB="0" distL="0" distR="0" wp14:anchorId="4203F93A" wp14:editId="2D7D0B13">
            <wp:extent cx="5276850" cy="1257300"/>
            <wp:effectExtent l="0" t="0" r="0" b="0"/>
            <wp:docPr id="3" name="Εικόνα 3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 title="Λογότυπο χρηματοδότησης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46" w:rsidRPr="0090687C" w:rsidRDefault="00E46746" w:rsidP="00E46746">
      <w:pPr>
        <w:spacing w:after="1800"/>
        <w:rPr>
          <w:rFonts w:eastAsia="Calibri" w:cs="Arial"/>
          <w:sz w:val="16"/>
        </w:rPr>
      </w:pPr>
      <w:bookmarkStart w:id="14" w:name="_Toc367176342"/>
      <w:bookmarkStart w:id="15" w:name="_Toc367391118"/>
      <w:bookmarkStart w:id="16" w:name="_Toc367695640"/>
      <w:bookmarkStart w:id="17" w:name="_Toc367696168"/>
      <w:bookmarkStart w:id="18" w:name="_Toc367132087"/>
    </w:p>
    <w:p w:rsidR="009376C1" w:rsidRPr="0090687C" w:rsidRDefault="009376C1" w:rsidP="00E46746">
      <w:pPr>
        <w:spacing w:after="1800"/>
        <w:rPr>
          <w:rFonts w:eastAsia="Calibri" w:cs="Arial"/>
          <w:sz w:val="16"/>
        </w:rPr>
      </w:pPr>
    </w:p>
    <w:p w:rsidR="009376C1" w:rsidRPr="0090687C" w:rsidRDefault="009376C1" w:rsidP="00E46746">
      <w:pPr>
        <w:spacing w:after="1800"/>
        <w:rPr>
          <w:rFonts w:eastAsia="Calibri" w:cs="Arial"/>
          <w:sz w:val="16"/>
        </w:rPr>
      </w:pPr>
    </w:p>
    <w:p w:rsidR="009376C1" w:rsidRPr="0090687C" w:rsidRDefault="009376C1" w:rsidP="002E7ABB">
      <w:pPr>
        <w:spacing w:after="1800"/>
        <w:jc w:val="right"/>
        <w:rPr>
          <w:rFonts w:eastAsia="Calibri" w:cs="Arial"/>
          <w:sz w:val="16"/>
        </w:rPr>
      </w:pPr>
    </w:p>
    <w:p w:rsidR="00F91B92" w:rsidRPr="0090687C" w:rsidRDefault="0090687C" w:rsidP="002D2443">
      <w:pPr>
        <w:tabs>
          <w:tab w:val="left" w:pos="1630"/>
          <w:tab w:val="left" w:pos="2431"/>
        </w:tabs>
        <w:spacing w:after="1800"/>
        <w:rPr>
          <w:rFonts w:eastAsia="Calibri" w:cs="Arial"/>
          <w:sz w:val="16"/>
        </w:rPr>
      </w:pPr>
      <w:r w:rsidRPr="0090687C">
        <w:rPr>
          <w:rFonts w:eastAsia="Calibri" w:cs="Arial"/>
          <w:sz w:val="16"/>
        </w:rPr>
        <w:tab/>
      </w:r>
      <w:r w:rsidR="002D2443">
        <w:rPr>
          <w:rFonts w:eastAsia="Calibri" w:cs="Arial"/>
          <w:sz w:val="16"/>
        </w:rPr>
        <w:tab/>
      </w:r>
    </w:p>
    <w:bookmarkEnd w:id="18" w:displacedByCustomXml="next"/>
    <w:bookmarkEnd w:id="17" w:displacedByCustomXml="next"/>
    <w:bookmarkEnd w:id="16" w:displacedByCustomXml="next"/>
    <w:bookmarkEnd w:id="15" w:displacedByCustomXml="next"/>
    <w:bookmarkEnd w:id="14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36756668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70188" w:rsidRPr="00170188" w:rsidRDefault="00170188">
          <w:pPr>
            <w:pStyle w:val="TOCHeading"/>
            <w:rPr>
              <w:lang w:val="en-US"/>
            </w:rPr>
          </w:pPr>
          <w:r w:rsidRPr="00170188">
            <w:rPr>
              <w:lang w:val="en-US"/>
            </w:rPr>
            <w:t>Table of Contents</w:t>
          </w:r>
        </w:p>
        <w:p w:rsidR="006E3F9D" w:rsidRDefault="00170188">
          <w:pPr>
            <w:pStyle w:val="TOC1"/>
            <w:rPr>
              <w:noProof/>
              <w:lang w:eastAsia="el-GR"/>
            </w:rPr>
          </w:pPr>
          <w:r>
            <w:fldChar w:fldCharType="begin"/>
          </w:r>
          <w:r w:rsidRPr="00170188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441571819" w:history="1">
            <w:r w:rsidR="006E3F9D" w:rsidRPr="00513579">
              <w:rPr>
                <w:rStyle w:val="Hyperlink"/>
                <w:noProof/>
              </w:rPr>
              <w:t>1. Γενικά</w:t>
            </w:r>
            <w:r w:rsidR="006E3F9D">
              <w:rPr>
                <w:noProof/>
                <w:webHidden/>
              </w:rPr>
              <w:tab/>
            </w:r>
            <w:r w:rsidR="006E3F9D">
              <w:rPr>
                <w:noProof/>
                <w:webHidden/>
              </w:rPr>
              <w:fldChar w:fldCharType="begin"/>
            </w:r>
            <w:r w:rsidR="006E3F9D">
              <w:rPr>
                <w:noProof/>
                <w:webHidden/>
              </w:rPr>
              <w:instrText xml:space="preserve"> PAGEREF _Toc441571819 \h </w:instrText>
            </w:r>
            <w:r w:rsidR="006E3F9D">
              <w:rPr>
                <w:noProof/>
                <w:webHidden/>
              </w:rPr>
            </w:r>
            <w:r w:rsidR="006E3F9D">
              <w:rPr>
                <w:noProof/>
                <w:webHidden/>
              </w:rPr>
              <w:fldChar w:fldCharType="separate"/>
            </w:r>
            <w:r w:rsidR="006E3F9D">
              <w:rPr>
                <w:noProof/>
                <w:webHidden/>
              </w:rPr>
              <w:t>4</w:t>
            </w:r>
            <w:r w:rsidR="006E3F9D">
              <w:rPr>
                <w:noProof/>
                <w:webHidden/>
              </w:rPr>
              <w:fldChar w:fldCharType="end"/>
            </w:r>
          </w:hyperlink>
        </w:p>
        <w:p w:rsidR="006E3F9D" w:rsidRDefault="0087119C" w:rsidP="006E3F9D">
          <w:pPr>
            <w:pStyle w:val="TOC2"/>
            <w:rPr>
              <w:rFonts w:asciiTheme="minorHAnsi" w:eastAsiaTheme="minorEastAsia" w:hAnsiTheme="minorHAnsi"/>
              <w:lang w:val="el-GR"/>
            </w:rPr>
          </w:pPr>
          <w:hyperlink w:anchor="_Toc441571820" w:history="1">
            <w:r w:rsidR="006E3F9D" w:rsidRPr="00513579">
              <w:rPr>
                <w:rStyle w:val="Hyperlink"/>
              </w:rPr>
              <w:t xml:space="preserve">2. </w:t>
            </w:r>
            <w:r w:rsidR="006E3F9D" w:rsidRPr="00513579">
              <w:rPr>
                <w:rStyle w:val="Hyperlink"/>
                <w:rFonts w:ascii="Times New Roman" w:hAnsi="Times New Roman" w:cs="Times New Roman"/>
              </w:rPr>
              <w:t>Κατηγορίες</w:t>
            </w:r>
            <w:r w:rsidR="006E3F9D" w:rsidRPr="00513579">
              <w:rPr>
                <w:rStyle w:val="Hyperlink"/>
              </w:rPr>
              <w:t xml:space="preserve"> </w:t>
            </w:r>
            <w:r w:rsidR="006E3F9D" w:rsidRPr="00513579">
              <w:rPr>
                <w:rStyle w:val="Hyperlink"/>
                <w:rFonts w:ascii="Times New Roman" w:hAnsi="Times New Roman" w:cs="Times New Roman"/>
              </w:rPr>
              <w:t>κονδυλίων</w:t>
            </w:r>
            <w:r w:rsidR="006E3F9D">
              <w:rPr>
                <w:webHidden/>
              </w:rPr>
              <w:tab/>
            </w:r>
            <w:r w:rsidR="006E3F9D">
              <w:rPr>
                <w:webHidden/>
              </w:rPr>
              <w:fldChar w:fldCharType="begin"/>
            </w:r>
            <w:r w:rsidR="006E3F9D">
              <w:rPr>
                <w:webHidden/>
              </w:rPr>
              <w:instrText xml:space="preserve"> PAGEREF _Toc441571820 \h </w:instrText>
            </w:r>
            <w:r w:rsidR="006E3F9D">
              <w:rPr>
                <w:webHidden/>
              </w:rPr>
            </w:r>
            <w:r w:rsidR="006E3F9D">
              <w:rPr>
                <w:webHidden/>
              </w:rPr>
              <w:fldChar w:fldCharType="separate"/>
            </w:r>
            <w:r w:rsidR="006E3F9D">
              <w:rPr>
                <w:webHidden/>
              </w:rPr>
              <w:t>4</w:t>
            </w:r>
            <w:r w:rsidR="006E3F9D">
              <w:rPr>
                <w:webHidden/>
              </w:rPr>
              <w:fldChar w:fldCharType="end"/>
            </w:r>
          </w:hyperlink>
        </w:p>
        <w:p w:rsidR="00170188" w:rsidRPr="00170188" w:rsidRDefault="00170188">
          <w:pPr>
            <w:rPr>
              <w:lang w:val="en-US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F91B92" w:rsidRPr="00170188" w:rsidRDefault="00F91B92" w:rsidP="0070010D">
      <w:pPr>
        <w:spacing w:after="240"/>
        <w:rPr>
          <w:b/>
          <w:color w:val="0070C0"/>
          <w:sz w:val="20"/>
          <w:lang w:val="en-US"/>
        </w:rPr>
      </w:pPr>
    </w:p>
    <w:p w:rsidR="00B722CB" w:rsidRPr="00170188" w:rsidRDefault="00B722CB" w:rsidP="00B722CB">
      <w:pPr>
        <w:rPr>
          <w:rFonts w:eastAsia="Calibri"/>
          <w:lang w:val="en-US"/>
        </w:rPr>
      </w:pPr>
      <w:bookmarkStart w:id="19" w:name="_Toc426570184"/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Pr="00170188" w:rsidRDefault="00170188" w:rsidP="00B722CB">
      <w:pPr>
        <w:rPr>
          <w:rFonts w:eastAsia="Calibri"/>
          <w:lang w:val="en-US"/>
        </w:rPr>
      </w:pPr>
    </w:p>
    <w:p w:rsidR="00170188" w:rsidRDefault="00170188" w:rsidP="00B722CB">
      <w:pPr>
        <w:rPr>
          <w:rFonts w:eastAsia="Calibri"/>
        </w:rPr>
      </w:pPr>
    </w:p>
    <w:p w:rsidR="002D19CB" w:rsidRDefault="002D19CB" w:rsidP="00B722CB">
      <w:pPr>
        <w:rPr>
          <w:rFonts w:eastAsia="Calibri"/>
        </w:rPr>
      </w:pPr>
    </w:p>
    <w:p w:rsidR="002D19CB" w:rsidRDefault="002D19CB" w:rsidP="00B722CB">
      <w:pPr>
        <w:rPr>
          <w:rFonts w:eastAsia="Calibri"/>
        </w:rPr>
      </w:pPr>
    </w:p>
    <w:p w:rsidR="002D19CB" w:rsidRDefault="002D19CB" w:rsidP="00B722CB">
      <w:pPr>
        <w:rPr>
          <w:rFonts w:eastAsia="Calibri"/>
        </w:rPr>
      </w:pPr>
    </w:p>
    <w:p w:rsidR="002D19CB" w:rsidRDefault="002D19CB" w:rsidP="00B722CB">
      <w:pPr>
        <w:rPr>
          <w:rFonts w:eastAsia="Calibri"/>
        </w:rPr>
      </w:pPr>
    </w:p>
    <w:p w:rsidR="002D19CB" w:rsidRDefault="002D19CB" w:rsidP="00B722CB">
      <w:pPr>
        <w:rPr>
          <w:rFonts w:eastAsia="Calibri"/>
        </w:rPr>
      </w:pPr>
    </w:p>
    <w:p w:rsidR="002D19CB" w:rsidRDefault="002D19CB" w:rsidP="00B722CB">
      <w:pPr>
        <w:rPr>
          <w:rFonts w:eastAsia="Calibri"/>
        </w:rPr>
      </w:pPr>
    </w:p>
    <w:p w:rsidR="002D19CB" w:rsidRDefault="002D19CB" w:rsidP="00B722CB">
      <w:pPr>
        <w:rPr>
          <w:rFonts w:eastAsia="Calibri"/>
        </w:rPr>
      </w:pPr>
    </w:p>
    <w:p w:rsidR="002D19CB" w:rsidRDefault="002D19CB" w:rsidP="00B722CB">
      <w:pPr>
        <w:rPr>
          <w:rFonts w:eastAsia="Calibri"/>
        </w:rPr>
      </w:pPr>
    </w:p>
    <w:p w:rsidR="004C4CAF" w:rsidRDefault="004C4CAF" w:rsidP="00B722CB">
      <w:pPr>
        <w:rPr>
          <w:rFonts w:eastAsia="Calibri"/>
        </w:rPr>
      </w:pPr>
    </w:p>
    <w:p w:rsidR="004C4CAF" w:rsidRDefault="004C4CAF" w:rsidP="00B722CB">
      <w:pPr>
        <w:rPr>
          <w:rFonts w:eastAsia="Calibri"/>
        </w:rPr>
      </w:pPr>
    </w:p>
    <w:p w:rsidR="00BD5FC3" w:rsidRPr="00683609" w:rsidRDefault="00BD5FC3" w:rsidP="002D2EA0">
      <w:pPr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b/>
          <w:sz w:val="24"/>
          <w:szCs w:val="24"/>
          <w:lang w:eastAsia="el-GR"/>
        </w:rPr>
        <w:lastRenderedPageBreak/>
        <w:t>ΚΑΤΑΣΤΑΣΗ ΛΟΓΑΡΙΑΣΜΟΥ «ΑΠΟΤΕΛΕΣΜΑΤΑ ΧΡΗΣΗΣ»</w:t>
      </w:r>
    </w:p>
    <w:p w:rsidR="00BD5FC3" w:rsidRPr="006E3F9D" w:rsidRDefault="00D51581" w:rsidP="006E3F9D">
      <w:pPr>
        <w:pStyle w:val="Heading1"/>
      </w:pPr>
      <w:bookmarkStart w:id="20" w:name="_Toc441571819"/>
      <w:r w:rsidRPr="006E3F9D">
        <w:t>1</w:t>
      </w:r>
      <w:r w:rsidR="00BD5FC3" w:rsidRPr="006E3F9D">
        <w:t>. Γενικά</w:t>
      </w:r>
      <w:bookmarkEnd w:id="20"/>
    </w:p>
    <w:p w:rsidR="00BD5FC3" w:rsidRPr="00683609" w:rsidRDefault="00BD5FC3" w:rsidP="00BD5FC3">
      <w:pPr>
        <w:rPr>
          <w:rFonts w:ascii="Times New Roman" w:eastAsia="Times New Roman" w:hAnsi="Times New Roman"/>
          <w:sz w:val="24"/>
          <w:szCs w:val="24"/>
          <w:lang w:eastAsia="el-GR"/>
        </w:rPr>
      </w:pPr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>Η κατάσταση του λογαριασμού αποτελεσμάτων χρήσεως καταρτίζεται υποχρεωτικά στο τέλος κάθε χρήσεως, σύμφωνα μ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ε το υπόδειγμα της παρ. </w:t>
      </w:r>
      <w:r w:rsidRPr="00AA368C">
        <w:rPr>
          <w:rFonts w:ascii="Modern No. 20" w:eastAsia="Times New Roman" w:hAnsi="Modern No. 20"/>
          <w:sz w:val="24"/>
          <w:szCs w:val="24"/>
          <w:lang w:eastAsia="el-GR"/>
        </w:rPr>
        <w:t>4.1.202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του Ε.Γ.Λ.Σ. που επισυνάπτεται.</w:t>
      </w:r>
    </w:p>
    <w:p w:rsidR="00BD5FC3" w:rsidRPr="007B569A" w:rsidRDefault="00BD5FC3" w:rsidP="00BD5FC3">
      <w:pPr>
        <w:rPr>
          <w:rFonts w:ascii="Times New Roman" w:eastAsia="Times New Roman" w:hAnsi="Times New Roman"/>
          <w:sz w:val="24"/>
          <w:szCs w:val="24"/>
          <w:lang w:eastAsia="el-GR"/>
        </w:rPr>
      </w:pPr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>Η κατάσταση του λογαριασμού αποτελεσμάτων χρήσεως καταχωρείται στο βιβλίο απογραφών και ισολογισμών των οικονομικών μονάδων και δημοσιεύεται υποχρεωτικά στο τέλος κάθε χρήσεως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BD5FC3" w:rsidRPr="007B569A" w:rsidRDefault="00BD5FC3" w:rsidP="00BD5FC3">
      <w:pPr>
        <w:rPr>
          <w:rFonts w:ascii="Times New Roman" w:eastAsia="Times New Roman" w:hAnsi="Times New Roman"/>
          <w:sz w:val="24"/>
          <w:szCs w:val="24"/>
          <w:lang w:eastAsia="el-GR"/>
        </w:rPr>
      </w:pPr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 xml:space="preserve">Στην κατάσταση του λογαριασμού αποτελεσμάτων χρήσεως περιλαμβάνονται υποχρεωτικά τουλάχιστον τα στοιχεία του υποδείγματος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του Ισολογισμού</w:t>
      </w:r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>. εφόσον τα στοιχεία αυτά υπάρχουν στην οικονομική μονάδα. Επιτρέπεται μεγαλύτερη ανάλυση των κονδυλίων στα οποία αντιστοιχούν αραβικοί αριθμοί.</w:t>
      </w:r>
    </w:p>
    <w:p w:rsidR="00BD5FC3" w:rsidRPr="007B569A" w:rsidRDefault="00BD5FC3" w:rsidP="00BD5FC3">
      <w:pPr>
        <w:rPr>
          <w:rFonts w:ascii="Times New Roman" w:eastAsia="Times New Roman" w:hAnsi="Times New Roman"/>
          <w:sz w:val="24"/>
          <w:szCs w:val="24"/>
          <w:lang w:eastAsia="el-GR"/>
        </w:rPr>
      </w:pPr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 xml:space="preserve">Η σύμπτυξη κονδυλίων στα οποία αντιστοιχούν αραβικοί αριθμοί επιτρέπεται, εφόσον είναι ασήμαντα και στο προσάρτημα του Ισολογισμού και των αποτελεσμάτων χρήσεως γίνεται ανάλυση των συμπτυγμένων κονδυλίων, σύμφωνα με όσα καθορίζονται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περί του Προσαρτήματος του Ισολογισμού.</w:t>
      </w:r>
    </w:p>
    <w:p w:rsidR="00BD5FC3" w:rsidRPr="007B569A" w:rsidRDefault="00BD5FC3" w:rsidP="00BD5FC3">
      <w:pPr>
        <w:rPr>
          <w:rFonts w:ascii="Times New Roman" w:eastAsia="Times New Roman" w:hAnsi="Times New Roman"/>
          <w:sz w:val="24"/>
          <w:szCs w:val="24"/>
          <w:lang w:eastAsia="el-GR"/>
        </w:rPr>
      </w:pPr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 xml:space="preserve">Όλα, τα στοιχεία της καταστάσεως του λογαριασμού αποτελεσμάτων χρήσεως απεικονίζονται σε δύο στήλες, στις αξίες που εμφανίζονται στους οικείους </w:t>
      </w:r>
      <w:proofErr w:type="spellStart"/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>υπολογαριασμούς</w:t>
      </w:r>
      <w:proofErr w:type="spellEnd"/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86 : (1) κατά το τέλος της χρήσεως στην οποία αναφέρονται τα αποτελέσματα και (2) κατά το τέλος της προηγούμενης χρήσεως.</w:t>
      </w:r>
    </w:p>
    <w:p w:rsidR="00BD5FC3" w:rsidRPr="00525EEC" w:rsidRDefault="00BD5FC3" w:rsidP="00BD5FC3">
      <w:pPr>
        <w:rPr>
          <w:rFonts w:ascii="Times New Roman" w:eastAsia="Times New Roman" w:hAnsi="Times New Roman"/>
          <w:sz w:val="24"/>
          <w:szCs w:val="24"/>
          <w:lang w:eastAsia="el-GR"/>
        </w:rPr>
      </w:pPr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 xml:space="preserve">Στην κατάσταση αποτελεσμάτων χρήσεως που καταχωρείται στο βιβλίο απογραφών και ισολογισμών των οικονομικών μονάδων, για κάθε κονδύλι γίνεται συσχέτιση με τον ή τους κωδικούς αριθμούς των αντίστοιχων λογαριασμών του σχεδίου λογαριασμών, όπως φαίνεται στο υπόδειγμα της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κατάστασης του λογαριασμού «Αποτελέσματα Χρήσης»  του Ε.Γ.Λ.Σ</w:t>
      </w:r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 xml:space="preserve">. Κατά τη δημοσίευση της καταστάσεως αυτής οι κωδικοί αριθμοί συσχετίσεως είναι δυνατό να παραλείπονται. </w:t>
      </w:r>
    </w:p>
    <w:p w:rsidR="00BD5FC3" w:rsidRPr="009D4DD6" w:rsidRDefault="009D4DD6" w:rsidP="009D4DD6">
      <w:pPr>
        <w:pStyle w:val="Heading2"/>
      </w:pPr>
      <w:bookmarkStart w:id="21" w:name="_Toc441571820"/>
      <w:r w:rsidRPr="009D4DD6">
        <w:t>2. Κατηγορίες κονδυλίων</w:t>
      </w:r>
      <w:bookmarkEnd w:id="21"/>
    </w:p>
    <w:p w:rsidR="00BD5FC3" w:rsidRPr="007A2192" w:rsidRDefault="00BD5FC3" w:rsidP="00BD5FC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Modern No. 20" w:eastAsia="Times New Roman" w:hAnsi="Modern No. 20"/>
          <w:b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κύκλος εργασιών (πωλήσεις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)» περιλαμβάνονται τα ακαθάριστα έσοδα, τα οποία απεικονίζονται στους λογαριασμούς </w:t>
      </w:r>
      <w:r w:rsidRPr="007A2192">
        <w:rPr>
          <w:rFonts w:ascii="Times New Roman" w:eastAsia="Times New Roman" w:hAnsi="Times New Roman"/>
          <w:b/>
          <w:sz w:val="24"/>
          <w:szCs w:val="24"/>
          <w:lang w:eastAsia="el-GR"/>
        </w:rPr>
        <w:t>Λ</w:t>
      </w:r>
      <w:r w:rsidRPr="007A2192">
        <w:rPr>
          <w:rFonts w:ascii="Modern No. 20" w:eastAsia="Times New Roman" w:hAnsi="Modern No. 20"/>
          <w:b/>
          <w:sz w:val="24"/>
          <w:szCs w:val="24"/>
          <w:lang w:eastAsia="el-GR"/>
        </w:rPr>
        <w:t xml:space="preserve">.70, </w:t>
      </w:r>
      <w:r w:rsidRPr="007A2192">
        <w:rPr>
          <w:rFonts w:ascii="Times New Roman" w:eastAsia="Times New Roman" w:hAnsi="Times New Roman"/>
          <w:b/>
          <w:sz w:val="24"/>
          <w:szCs w:val="24"/>
          <w:lang w:eastAsia="el-GR"/>
        </w:rPr>
        <w:t>Λ</w:t>
      </w:r>
      <w:r w:rsidRPr="007A2192">
        <w:rPr>
          <w:rFonts w:ascii="Modern No. 20" w:eastAsia="Times New Roman" w:hAnsi="Modern No. 20"/>
          <w:b/>
          <w:sz w:val="24"/>
          <w:szCs w:val="24"/>
          <w:lang w:eastAsia="el-GR"/>
        </w:rPr>
        <w:t xml:space="preserve">.71, </w:t>
      </w:r>
      <w:r w:rsidRPr="007A2192">
        <w:rPr>
          <w:rFonts w:ascii="Times New Roman" w:eastAsia="Times New Roman" w:hAnsi="Times New Roman"/>
          <w:b/>
          <w:sz w:val="24"/>
          <w:szCs w:val="24"/>
          <w:lang w:eastAsia="el-GR"/>
        </w:rPr>
        <w:t>Λ</w:t>
      </w:r>
      <w:r w:rsidRPr="007A2192">
        <w:rPr>
          <w:rFonts w:ascii="Modern No. 20" w:eastAsia="Times New Roman" w:hAnsi="Modern No. 20"/>
          <w:b/>
          <w:sz w:val="24"/>
          <w:szCs w:val="24"/>
          <w:lang w:eastAsia="el-GR"/>
        </w:rPr>
        <w:t xml:space="preserve">.72 </w:t>
      </w:r>
      <w:r w:rsidRPr="007A2192">
        <w:rPr>
          <w:rFonts w:ascii="Times New Roman" w:eastAsia="Times New Roman" w:hAnsi="Times New Roman"/>
          <w:b/>
          <w:sz w:val="24"/>
          <w:szCs w:val="24"/>
          <w:lang w:eastAsia="el-GR"/>
        </w:rPr>
        <w:t>και</w:t>
      </w:r>
      <w:r w:rsidRPr="007A2192">
        <w:rPr>
          <w:rFonts w:ascii="Modern No. 20" w:eastAsia="Times New Roman" w:hAnsi="Modern No. 20"/>
          <w:b/>
          <w:sz w:val="24"/>
          <w:szCs w:val="24"/>
          <w:lang w:eastAsia="el-GR"/>
        </w:rPr>
        <w:t xml:space="preserve"> </w:t>
      </w:r>
      <w:r w:rsidRPr="007A2192">
        <w:rPr>
          <w:rFonts w:ascii="Times New Roman" w:eastAsia="Times New Roman" w:hAnsi="Times New Roman"/>
          <w:b/>
          <w:sz w:val="24"/>
          <w:szCs w:val="24"/>
          <w:lang w:eastAsia="el-GR"/>
        </w:rPr>
        <w:t>Λ</w:t>
      </w:r>
      <w:r w:rsidRPr="007A2192">
        <w:rPr>
          <w:rFonts w:ascii="Modern No. 20" w:eastAsia="Times New Roman" w:hAnsi="Modern No. 20"/>
          <w:b/>
          <w:sz w:val="24"/>
          <w:szCs w:val="24"/>
          <w:lang w:eastAsia="el-GR"/>
        </w:rPr>
        <w:t>.73 .</w:t>
      </w:r>
    </w:p>
    <w:p w:rsidR="00BD5FC3" w:rsidRDefault="00BD5FC3" w:rsidP="00BD5FC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μικτά αποτελέσματα (κέρδη ή ζημίες) εκμεταλλεύσεως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περιλαμβάνονται τα μικτά αποτελέσματα της εκμεταλλεύσεως, τα οποία προσδιορίζονται μετά από το διαχωρισμό, από τα καθαρά αποτελέσματα εκμεταλλεύσεως, των μη προσδιοριστικών τους εξόδων (λογ. </w:t>
      </w:r>
      <w:r w:rsidRPr="00427796">
        <w:rPr>
          <w:rFonts w:ascii="Modern No. 20" w:eastAsia="Times New Roman" w:hAnsi="Modern No. 20"/>
          <w:sz w:val="24"/>
          <w:szCs w:val="24"/>
          <w:lang w:eastAsia="el-GR"/>
        </w:rPr>
        <w:t xml:space="preserve">80.02 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) και εσόδων (λογ. </w:t>
      </w:r>
      <w:r w:rsidRPr="00427796">
        <w:rPr>
          <w:rFonts w:ascii="Modern No. 20" w:eastAsia="Times New Roman" w:hAnsi="Modern No. 20"/>
          <w:sz w:val="24"/>
          <w:szCs w:val="24"/>
          <w:lang w:eastAsia="el-GR"/>
        </w:rPr>
        <w:t>80.03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).</w:t>
      </w:r>
    </w:p>
    <w:p w:rsidR="00BD5FC3" w:rsidRPr="00683609" w:rsidRDefault="00BD5FC3" w:rsidP="00BD5FC3">
      <w:pPr>
        <w:pStyle w:val="ListParagrap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Τα μικτά αυτά αποτελέσματα απεικονίζονται στον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υπολογαριασμό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427796">
        <w:rPr>
          <w:rFonts w:ascii="Modern No. 20" w:eastAsia="Times New Roman" w:hAnsi="Modern No. 20"/>
          <w:sz w:val="24"/>
          <w:szCs w:val="24"/>
          <w:lang w:eastAsia="el-GR"/>
        </w:rPr>
        <w:t>86.00.00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, στον οποίο μεταφέρονται από τον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υπολογαριασμό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427796">
        <w:rPr>
          <w:rFonts w:ascii="Modern No. 20" w:eastAsia="Times New Roman" w:hAnsi="Modern No. 20"/>
          <w:sz w:val="24"/>
          <w:szCs w:val="24"/>
          <w:lang w:eastAsia="el-GR"/>
        </w:rPr>
        <w:t>80.01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λογαριασμού </w:t>
      </w:r>
      <w:r w:rsidRPr="00427796">
        <w:rPr>
          <w:rFonts w:ascii="Modern No. 20" w:eastAsia="Times New Roman" w:hAnsi="Modern No. 20"/>
          <w:sz w:val="24"/>
          <w:szCs w:val="24"/>
          <w:lang w:eastAsia="el-GR"/>
        </w:rPr>
        <w:t>80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683609" w:rsidRDefault="00BD5FC3" w:rsidP="00BD5FC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κόστος πωλήσεων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» περιλαμβάνεται ή διαφορά μεταξύ των κονδυλίων «</w:t>
      </w:r>
      <w:r w:rsidRPr="00873D79">
        <w:rPr>
          <w:rFonts w:ascii="Times New Roman" w:eastAsia="Times New Roman" w:hAnsi="Times New Roman"/>
          <w:i/>
          <w:sz w:val="24"/>
          <w:szCs w:val="24"/>
          <w:lang w:eastAsia="el-GR"/>
        </w:rPr>
        <w:t>κύκλος εργασιών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» και «</w:t>
      </w:r>
      <w:r w:rsidRPr="00873D79">
        <w:rPr>
          <w:rFonts w:ascii="Times New Roman" w:eastAsia="Times New Roman" w:hAnsi="Times New Roman"/>
          <w:i/>
          <w:sz w:val="24"/>
          <w:szCs w:val="24"/>
          <w:lang w:eastAsia="el-GR"/>
        </w:rPr>
        <w:t>μικτά αποτελέσματα εκμεταλλεύσεως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».</w:t>
      </w:r>
    </w:p>
    <w:p w:rsidR="00BD5FC3" w:rsidRPr="00683609" w:rsidRDefault="00BD5FC3" w:rsidP="00BD5FC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άλλα έσοδα εκμεταλλεύσεως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περιλαμβάνονται τα έσοδα εκμεταλλεύσεως του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>86.00.01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. Τα έσοδα αυτά συγκεντρώνονται στους λογαριασμούς 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 xml:space="preserve">74, 75 </w:t>
      </w:r>
      <w:r w:rsidRPr="00873D79">
        <w:rPr>
          <w:rFonts w:ascii="Times New Roman" w:eastAsia="Times New Roman" w:hAnsi="Times New Roman"/>
          <w:sz w:val="24"/>
          <w:szCs w:val="24"/>
          <w:lang w:eastAsia="el-GR"/>
        </w:rPr>
        <w:t>και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 xml:space="preserve"> 78.05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683609" w:rsidRDefault="00BD5FC3" w:rsidP="00BD5FC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Στις κατηγορίες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έξοδα διοικητικής λειτουργίας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»,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έξοδα λειτουργίας ερευνών- αναπτύξεως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» και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έξοδα λειτουργίας διαθέσεως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περιλαμβάνονται τα χρεωστικά υπόλοιπα των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ύπολογαριασμών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 xml:space="preserve">86.00.02, 86.00.03 </w:t>
      </w:r>
      <w:r w:rsidRPr="00873D79">
        <w:rPr>
          <w:rFonts w:ascii="Times New Roman" w:eastAsia="Times New Roman" w:hAnsi="Times New Roman"/>
          <w:sz w:val="24"/>
          <w:szCs w:val="24"/>
          <w:lang w:eastAsia="el-GR"/>
        </w:rPr>
        <w:t>και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 xml:space="preserve"> 86.00.04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αντίστοιχα. Τα έξοδα των κατηγοριών αυτών συγκεντρώνονται στους λογαριασμούς 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 xml:space="preserve">92.01, 92.02 </w:t>
      </w:r>
      <w:r w:rsidRPr="00873D79">
        <w:rPr>
          <w:rFonts w:ascii="Times New Roman" w:eastAsia="Times New Roman" w:hAnsi="Times New Roman"/>
          <w:sz w:val="24"/>
          <w:szCs w:val="24"/>
          <w:lang w:eastAsia="el-GR"/>
        </w:rPr>
        <w:t>και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 xml:space="preserve"> 92.03 </w:t>
      </w:r>
      <w:r w:rsidRPr="00873D79">
        <w:rPr>
          <w:rFonts w:ascii="Times New Roman" w:eastAsia="Times New Roman" w:hAnsi="Times New Roman"/>
          <w:sz w:val="24"/>
          <w:szCs w:val="24"/>
          <w:lang w:eastAsia="el-GR"/>
        </w:rPr>
        <w:t>της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 xml:space="preserve"> </w:t>
      </w:r>
      <w:r w:rsidRPr="00873D79">
        <w:rPr>
          <w:rFonts w:ascii="Times New Roman" w:eastAsia="Times New Roman" w:hAnsi="Times New Roman"/>
          <w:sz w:val="24"/>
          <w:szCs w:val="24"/>
          <w:lang w:eastAsia="el-GR"/>
        </w:rPr>
        <w:t>ομάδας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 xml:space="preserve"> 9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αναλυτικής λογιστικής. Τα έξοδα αυτά, όταν δε λειτουργεί λογιστικό σύστημα αναλυτικής λογιστικής, προσδιορίζονται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εξωλογιστικά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με βάση τα στοιχεία που προκύπτουν από τους λογαριασμούς της γενικής λογιστικής, σύμφωνα με όσα καθορίζονται στ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ο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Ε.Γ.Λ.Σ.</w:t>
      </w:r>
    </w:p>
    <w:p w:rsidR="00BD5FC3" w:rsidRPr="00683609" w:rsidRDefault="00BD5FC3" w:rsidP="00BD5FC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έσοδα συμμετοχών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πιστωτικό υπόλοιπο του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>86.01.00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. Τα έσοδα της κατηγορίας αυτής συγκεντρώνονται στο λογαριασμό 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>76.00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683609" w:rsidRDefault="00BD5FC3" w:rsidP="00BD5FC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έσοδα χρεογράφων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πιστωτικό υπόλοιπο του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>86.01.01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. Τα έσοδα της κατηγορίας αυτής συγκεντρώνονται στο λογαριασμό 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>76.01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683609" w:rsidRDefault="00BD5FC3" w:rsidP="00BD5FC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κέρδη πωλήσεως συμμετοχών και χρεογράφων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πιστωτικό υπόλοιπο του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>86.01.02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. Τα έσοδα της κατηγορίας αυτής συγκεντρώνονται στο λογαριασμό </w:t>
      </w:r>
      <w:r w:rsidRPr="00873D79">
        <w:rPr>
          <w:rFonts w:ascii="Modern No. 20" w:eastAsia="Times New Roman" w:hAnsi="Modern No. 20"/>
          <w:sz w:val="24"/>
          <w:szCs w:val="24"/>
          <w:lang w:eastAsia="el-GR"/>
        </w:rPr>
        <w:t>76.04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683609" w:rsidRDefault="00BD5FC3" w:rsidP="00BD5FC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πιστωτικοί τόκοι και συναφή έσοδα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πιστωτικό υπόλοιπο του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86.01.03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. Τα έσοδα της κατηγορίας αυτής συγκεντρώνονται στους λογαριασμούς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76.02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έως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76.98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, πλην του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76.04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683609" w:rsidRDefault="00BD5FC3" w:rsidP="00BD5FC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διαφορές αποτιμήσεως συμμετοχών και χρεογράφων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χρεωστικό υπόλοιπο του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86.01.07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. Τα κονδύλια της κατηγορίας αυτής συγκεντρώνονται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64.11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BD5FC3" w:rsidRPr="00683609" w:rsidRDefault="00BD5FC3" w:rsidP="00BD5FC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έξοδα και ζημίες συμμετοχών και χρεογράφων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χρεωστικό υπόλοιπο του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86.01.08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. Τα κονδύλια της κατηγορίας αυτής συγκεντρώνονται στους λογαριασμούς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 xml:space="preserve">64.10 </w:t>
      </w:r>
      <w:r w:rsidRPr="00CF46AD">
        <w:rPr>
          <w:rFonts w:ascii="Times New Roman" w:eastAsia="Times New Roman" w:hAnsi="Times New Roman"/>
          <w:sz w:val="24"/>
          <w:szCs w:val="24"/>
          <w:lang w:eastAsia="el-GR"/>
        </w:rPr>
        <w:t>και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 xml:space="preserve"> 64.12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Default="00BD5FC3" w:rsidP="00BD5FC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χρεωστικοί τόκοι και συναφή έξοδα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χρεωστικό υπόλοιπο του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86.01.09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. Τα κονδύλια της κατηγορίας αυτής συγκεντρώνονται στους </w:t>
      </w:r>
      <w:proofErr w:type="spellStart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υπολογαριασμούς</w:t>
      </w:r>
      <w:proofErr w:type="spellEnd"/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65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BD5FC3" w:rsidRPr="00683609" w:rsidRDefault="00BD5FC3" w:rsidP="00BD5FC3">
      <w:pPr>
        <w:pStyle w:val="ListParagrap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 xml:space="preserve">Τα ολικά αποτελέσματα (κέρδη ή ζημίες) εκμεταλλεύσεως, τα οποία προκύπτουν από το άθροισμα των αποτελεσμάτων εκμεταλλεύσεως από εργασίες και των χρηματοοικονομικών αποτελεσμάτων, απεικονίζονται στους λογαριασμούς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 xml:space="preserve">86.00 </w:t>
      </w:r>
      <w:r w:rsidRPr="00CF46AD">
        <w:rPr>
          <w:rFonts w:ascii="Times New Roman" w:eastAsia="Times New Roman" w:hAnsi="Times New Roman"/>
          <w:sz w:val="24"/>
          <w:szCs w:val="24"/>
          <w:lang w:eastAsia="el-GR"/>
        </w:rPr>
        <w:t>και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 xml:space="preserve"> 86.01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αντίστοιχα. Τα αποτελέσματα αυτά της εκμεταλλεύσεως απεικονίζονται και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80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«</w:t>
      </w:r>
      <w:r w:rsidRPr="00CF46AD">
        <w:rPr>
          <w:rFonts w:ascii="Times New Roman" w:eastAsia="Times New Roman" w:hAnsi="Times New Roman"/>
          <w:i/>
          <w:sz w:val="24"/>
          <w:szCs w:val="24"/>
          <w:lang w:eastAsia="el-GR"/>
        </w:rPr>
        <w:t>γενική εκμετάλλευση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» πριν από τη μεταφορά τους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</w:t>
      </w:r>
      <w:r w:rsidRPr="00683609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EB28A6" w:rsidRDefault="00BD5FC3" w:rsidP="00BD5FC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έκτακτα και ανόργανα έσοδα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πιστωτικό υπόλοιπο του </w:t>
      </w:r>
      <w:proofErr w:type="spellStart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86.02.00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 Τα κονδύλια της κατηγορίας αυτής συγκεντρώνονται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81.01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EB28A6" w:rsidRDefault="00BD5FC3" w:rsidP="00BD5FC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έκτακτα κέρδη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πιστωτικό υπόλοιπο του </w:t>
      </w:r>
      <w:proofErr w:type="spellStart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,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86.02.01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Τα κονδύλια της κατηγορίας αυτής συγκεντρώνονται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81.03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EB28A6" w:rsidRDefault="00BD5FC3" w:rsidP="00BD5FC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έσοδα προηγούμενων χρήσεων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πιστωτικό υπόλοιπο του </w:t>
      </w:r>
      <w:proofErr w:type="spellStart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86.02.02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 Τα κονδύλια της κατηγορίας αυτής συγκεντρώνονται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82.01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EB28A6" w:rsidRDefault="00BD5FC3" w:rsidP="00BD5FC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έσοδα από προβλέψεις προηγούμενων χρήσεων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πιστωτικό υπόλοιπο του </w:t>
      </w:r>
      <w:proofErr w:type="spellStart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86.02.03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 Τα κονδύλια της κατηγορίας αυτής συγκεντρώνονται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84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EB28A6" w:rsidRDefault="00BD5FC3" w:rsidP="00BD5FC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έκτακτα και ανόργανα έξοδα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χρεωστικό υπόλοιπο του </w:t>
      </w:r>
      <w:proofErr w:type="spellStart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86.02,07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 Τα κονδύλια της κατηγορίας αυτής συγκεντρώνονται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81.00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EB28A6" w:rsidRDefault="00BD5FC3" w:rsidP="00BD5FC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έκτακτες ζημίες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χρεωστικό υπόλοιπο του </w:t>
      </w:r>
      <w:proofErr w:type="spellStart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86.02.08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 Τα κονδύλια της κατηγορίας αυτής συγκεντρώνονται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81.02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EB28A6" w:rsidRDefault="00BD5FC3" w:rsidP="00BD5FC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έξοδα προηγούμενων χρήσεων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χρεωστικό υπόλοιπο του </w:t>
      </w:r>
      <w:proofErr w:type="spellStart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86.02.09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. Τα κονδύλια της κατηγορίας αυτής συγκεντρώνονται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82.00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Default="00BD5FC3" w:rsidP="00BD5FC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προβλέψεις για έκτακτους κινδύνους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περιλαμβάνεται το χρεωστικό υπόλοιπο του </w:t>
      </w:r>
      <w:proofErr w:type="spellStart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υπολογαριασμού</w:t>
      </w:r>
      <w:proofErr w:type="spellEnd"/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86.02.10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 Τα κονδύλια της κατηγορίας αυτής συγκεντρώνονται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83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.</w:t>
      </w:r>
    </w:p>
    <w:p w:rsidR="00BD5FC3" w:rsidRPr="00EB28A6" w:rsidRDefault="00BD5FC3" w:rsidP="00BD5FC3">
      <w:pPr>
        <w:pStyle w:val="ListParagrap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Από το αλγεβρικό άθροισμα των ολικών αποτελεσμάτων εκμεταλλεύσεως και των έκτακτων αποτελεσμάτων των λογαριασμών της ομάδας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προκύπτουν τα συνολικά αποτελέσματα της οικονομικής μονάδας, πριν από την αφαίρεση των μη ενσωματωμένων στο λειτουργικό κόστος αποσβέσεων.</w:t>
      </w:r>
    </w:p>
    <w:p w:rsidR="00BD5FC3" w:rsidRDefault="00BD5FC3" w:rsidP="00BD5FC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>Στην κατηγορία «</w:t>
      </w:r>
      <w:r w:rsidRPr="00EB28A6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σύνολο αποσβέσεων παγίων στοιχείων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» περιλαμβάνονται, τόσο οι αποσβέσεις που ενσωματώνονται στο λειτουργικό κόστος (τακτικές) όσο και εκείνες που δεν ενσωματώνονται (π.χ. πρόσθετες αποσβέσεις κινήτρων επενδύσεων). </w:t>
      </w:r>
    </w:p>
    <w:p w:rsidR="00BD5FC3" w:rsidRDefault="00BD5FC3" w:rsidP="00BD5FC3">
      <w:pPr>
        <w:pStyle w:val="ListParagrap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Οι αποσβέσεις που ενσωματώνονται στο λειτουργικό κόστος συγκεντρώνονται στο λογαριασμό 66 και μεταφέρονται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80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«</w:t>
      </w:r>
      <w:r w:rsidRPr="00CF46AD">
        <w:rPr>
          <w:rFonts w:ascii="Times New Roman" w:eastAsia="Times New Roman" w:hAnsi="Times New Roman"/>
          <w:i/>
          <w:sz w:val="24"/>
          <w:szCs w:val="24"/>
          <w:lang w:eastAsia="el-GR"/>
        </w:rPr>
        <w:t>γενική εκμετάλλευση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». Οι αποσβέσεις που δεν ενσωματώνονται στο λειτουργικό κόστος συγκεντρώνονται στο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85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μεταφέρονται στον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86.03</w:t>
      </w:r>
      <w:r w:rsidRPr="00EB28A6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BD5FC3" w:rsidRDefault="00BD5FC3" w:rsidP="00BD5FC3">
      <w:pPr>
        <w:pStyle w:val="ListParagraph"/>
        <w:rPr>
          <w:rFonts w:ascii="Times New Roman" w:eastAsia="Times New Roman" w:hAnsi="Times New Roman"/>
          <w:sz w:val="24"/>
          <w:szCs w:val="24"/>
          <w:lang w:eastAsia="el-GR"/>
        </w:rPr>
      </w:pPr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 xml:space="preserve">Η διαφορά των συνολικών αποτελεσμάτων και των μη ενσωματωμένων στο λειτουργικό κόστος αποσβέσεων απεικονίζει τα καθαρά αποτελέσματα χρήσεως της οικονομικής μονάδας, πριν από την αφαίρεση του τυχόν φόρου εισοδήματος - εισφοράς ΟΓΑ και των τυχόν μη ενσωματωμένων στο λειτουργικό κόστος λοιπών φόρων (π.χ. φόρου ακίνητης περιουσίας). Τα καθαρά αυτά αποτελέσματα απεικονίζονται στον λογαριασμό </w:t>
      </w:r>
      <w:r w:rsidRPr="00CF46AD">
        <w:rPr>
          <w:rFonts w:ascii="Modern No. 20" w:eastAsia="Times New Roman" w:hAnsi="Modern No. 20"/>
          <w:sz w:val="24"/>
          <w:szCs w:val="24"/>
          <w:lang w:eastAsia="el-GR"/>
        </w:rPr>
        <w:t>86.99</w:t>
      </w:r>
      <w:r w:rsidRPr="00525EEC">
        <w:rPr>
          <w:rFonts w:ascii="Times New Roman" w:eastAsia="Times New Roman" w:hAnsi="Times New Roman"/>
          <w:sz w:val="24"/>
          <w:szCs w:val="24"/>
          <w:lang w:eastAsia="el-GR"/>
        </w:rPr>
        <w:t xml:space="preserve"> . </w:t>
      </w:r>
    </w:p>
    <w:p w:rsidR="001E2727" w:rsidRDefault="001E2727" w:rsidP="00BD5FC3">
      <w:pPr>
        <w:pStyle w:val="ListParagraph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14596" w:type="dxa"/>
        <w:tblInd w:w="40" w:type="dxa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  <w:tblCaption w:val="accessible"/>
      </w:tblPr>
      <w:tblGrid>
        <w:gridCol w:w="6480"/>
        <w:gridCol w:w="902"/>
        <w:gridCol w:w="6470"/>
        <w:gridCol w:w="744"/>
      </w:tblGrid>
      <w:tr w:rsidR="001E2727" w:rsidTr="00ED660B">
        <w:trPr>
          <w:trHeight w:hRule="exact" w:val="293"/>
        </w:trPr>
        <w:tc>
          <w:tcPr>
            <w:tcW w:w="14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ΙΣΟΛΟΓΙΣΜΟΣ</w:t>
            </w:r>
          </w:p>
        </w:tc>
      </w:tr>
      <w:tr w:rsidR="001E2727" w:rsidTr="00ED660B">
        <w:trPr>
          <w:trHeight w:hRule="exact" w:val="28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Α. Οφειλόμενο Κεφάλαιο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Α. Ίδια Κεφάλαια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</w:tr>
      <w:tr w:rsidR="001E2727" w:rsidTr="00ED660B">
        <w:trPr>
          <w:trHeight w:hRule="exact" w:val="28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Β. Έξοδα Εγκαταστάσεως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293"/>
            </w:pPr>
            <w:r>
              <w:rPr>
                <w:rFonts w:eastAsia="Times New Roman"/>
                <w:color w:val="000000"/>
                <w:sz w:val="24"/>
                <w:szCs w:val="24"/>
              </w:rPr>
              <w:t>Ι. Κεφάλαιο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Γ. Πάγιο Ενεργητικό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293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ΙΙ. Διαφορά από έκδοση μετοχών υπέρ το άρτιο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302"/>
            </w:pPr>
            <w:r>
              <w:rPr>
                <w:rFonts w:eastAsia="Times New Roman"/>
                <w:color w:val="000000"/>
                <w:sz w:val="24"/>
                <w:szCs w:val="24"/>
              </w:rPr>
              <w:t>Ι. Ασώματες Ακινητοποιήσεις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right="106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ΙΙΙ. Διαφορές αναπροσαρμογής – επιχορηγήσεις επενδύσεων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302"/>
            </w:pPr>
            <w:r>
              <w:rPr>
                <w:rFonts w:eastAsia="Times New Roman"/>
                <w:color w:val="000000"/>
                <w:sz w:val="24"/>
                <w:szCs w:val="24"/>
              </w:rPr>
              <w:t>ΙΙ. Ενσώματες Ακινητοποιήσεις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293"/>
            </w:pPr>
            <w:r>
              <w:rPr>
                <w:color w:val="000000"/>
                <w:sz w:val="24"/>
                <w:szCs w:val="24"/>
              </w:rPr>
              <w:t xml:space="preserve">IV.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Αποθεματικά Κεφάλαια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30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ΙΙΙ. Συμμετοχές και άλλες μακροπρόθεσμες απαιτήσεις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293"/>
            </w:pPr>
            <w:r>
              <w:rPr>
                <w:color w:val="000000"/>
                <w:sz w:val="24"/>
                <w:szCs w:val="24"/>
              </w:rPr>
              <w:t xml:space="preserve">V.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Αποτελέσματα εις νέο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293"/>
            </w:pPr>
            <w:r>
              <w:rPr>
                <w:color w:val="000000"/>
                <w:sz w:val="24"/>
                <w:szCs w:val="24"/>
              </w:rPr>
              <w:t xml:space="preserve">VI.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Ποσά προορισμένα για αύξηση κεφαλαίου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Δ. Κυκλοφορούν Ενεργητικό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302"/>
            </w:pPr>
            <w:r>
              <w:rPr>
                <w:rFonts w:eastAsia="Times New Roman"/>
                <w:color w:val="000000"/>
                <w:sz w:val="24"/>
                <w:szCs w:val="24"/>
              </w:rPr>
              <w:t>Ι. Αποθέματα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Β. Προβλέψεις για κινδύνους και έξοδα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302"/>
            </w:pPr>
            <w:r>
              <w:rPr>
                <w:rFonts w:eastAsia="Times New Roman"/>
                <w:color w:val="000000"/>
                <w:sz w:val="24"/>
                <w:szCs w:val="24"/>
              </w:rPr>
              <w:t>ΙΙ. Απαιτήσεις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Γ. Υποχρεώσεις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</w:tr>
      <w:tr w:rsidR="001E2727" w:rsidTr="00ED660B">
        <w:trPr>
          <w:trHeight w:hRule="exact" w:val="28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302"/>
            </w:pPr>
            <w:r>
              <w:rPr>
                <w:rFonts w:eastAsia="Times New Roman"/>
                <w:color w:val="000000"/>
                <w:sz w:val="24"/>
                <w:szCs w:val="24"/>
              </w:rPr>
              <w:t>ΙΙΙ. Χρεόγραφα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293"/>
            </w:pPr>
            <w:r>
              <w:rPr>
                <w:rFonts w:eastAsia="Times New Roman"/>
                <w:color w:val="000000"/>
                <w:sz w:val="24"/>
                <w:szCs w:val="24"/>
              </w:rPr>
              <w:t>Ι. Μακροπρόθεσμες Υποχρεώσεις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302"/>
            </w:pPr>
            <w:r>
              <w:rPr>
                <w:rFonts w:eastAsia="Times New Roman"/>
                <w:color w:val="000000"/>
                <w:sz w:val="24"/>
                <w:szCs w:val="24"/>
              </w:rPr>
              <w:t>ΙV. Διαθέσιμα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ind w:left="293"/>
            </w:pPr>
            <w:r>
              <w:rPr>
                <w:rFonts w:eastAsia="Times New Roman"/>
                <w:color w:val="000000"/>
                <w:sz w:val="24"/>
                <w:szCs w:val="24"/>
              </w:rPr>
              <w:t>ΙΙ. Βραχυπρόθεσμες Υποχρεώσεις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7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Ε. Μεταβατικοί Λογαριασμοί Ενεργητικού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Δ. Μεταβατικοί Λογαριασμοί Παθητικού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9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Σύνολο Ενεργητικού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Σύνολο Παθητικού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8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ΛΟΓΑΡΙΑΣΜΟΙ ΤΑΞΕΩΣ ΧΡΕΩΣΤΙΚΟΙ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ΛΟΓΑΡΙΑΣΜΟΙ ΤΑΞΕΩΣ ΠΙΣΤΩΤΙΚΟΙ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ΧΧΧ</w:t>
            </w:r>
          </w:p>
        </w:tc>
      </w:tr>
      <w:tr w:rsidR="001E2727" w:rsidTr="00ED660B">
        <w:trPr>
          <w:trHeight w:hRule="exact" w:val="29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27" w:rsidRDefault="001E2727" w:rsidP="003255F9">
            <w:pPr>
              <w:shd w:val="clear" w:color="auto" w:fill="FFFFFF"/>
            </w:pPr>
          </w:p>
        </w:tc>
      </w:tr>
    </w:tbl>
    <w:p w:rsidR="001E2727" w:rsidRPr="00525EEC" w:rsidRDefault="001E2727" w:rsidP="00BD5FC3">
      <w:pPr>
        <w:pStyle w:val="ListParagrap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D5FC3" w:rsidRDefault="00BD5FC3" w:rsidP="00B722CB">
      <w:pPr>
        <w:rPr>
          <w:rFonts w:eastAsia="Calibri"/>
        </w:rPr>
      </w:pPr>
    </w:p>
    <w:bookmarkEnd w:id="19"/>
    <w:p w:rsidR="00BD5FC3" w:rsidRPr="002D19CB" w:rsidRDefault="00BD5FC3" w:rsidP="00B722CB">
      <w:pPr>
        <w:rPr>
          <w:rFonts w:eastAsia="Calibri"/>
        </w:rPr>
      </w:pPr>
    </w:p>
    <w:sectPr w:rsidR="00BD5FC3" w:rsidRPr="002D19CB" w:rsidSect="00423CA6">
      <w:footerReference w:type="defaul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9C" w:rsidRDefault="0087119C" w:rsidP="007D3DBF">
      <w:pPr>
        <w:spacing w:after="0"/>
      </w:pPr>
      <w:r>
        <w:separator/>
      </w:r>
    </w:p>
  </w:endnote>
  <w:endnote w:type="continuationSeparator" w:id="0">
    <w:p w:rsidR="0087119C" w:rsidRDefault="0087119C" w:rsidP="007D3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lid Fraktur">
    <w:altName w:val="Times New Roman"/>
    <w:charset w:val="00"/>
    <w:family w:val="script"/>
    <w:pitch w:val="variable"/>
    <w:sig w:usb0="00000001" w:usb1="10000008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CD" w:rsidRPr="00B35D29" w:rsidRDefault="004C4CAF" w:rsidP="00C952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>
      <w:rPr>
        <w:rFonts w:asciiTheme="majorHAnsi" w:eastAsiaTheme="majorEastAsia" w:hAnsiTheme="majorHAnsi" w:cstheme="majorBidi"/>
        <w:b/>
      </w:rPr>
      <w:t>Κατάσταση Λογαριασμού «Αποτελέσματα Χρήσης»</w:t>
    </w:r>
  </w:p>
  <w:p w:rsidR="002F1CCD" w:rsidRDefault="002F1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9C" w:rsidRDefault="0087119C" w:rsidP="007D3DBF">
      <w:pPr>
        <w:spacing w:after="0"/>
      </w:pPr>
      <w:r>
        <w:separator/>
      </w:r>
    </w:p>
  </w:footnote>
  <w:footnote w:type="continuationSeparator" w:id="0">
    <w:p w:rsidR="0087119C" w:rsidRDefault="0087119C" w:rsidP="007D3D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7215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2C1A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BE8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636BA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0AE6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321A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7A52B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FEB2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F461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6E7D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E2496"/>
    <w:multiLevelType w:val="hybridMultilevel"/>
    <w:tmpl w:val="3BC67026"/>
    <w:lvl w:ilvl="0" w:tplc="E294D50E">
      <w:start w:val="1"/>
      <w:numFmt w:val="bullet"/>
      <w:lvlText w:val="-"/>
      <w:lvlJc w:val="left"/>
      <w:pPr>
        <w:ind w:left="720" w:hanging="360"/>
      </w:pPr>
      <w:rPr>
        <w:rFonts w:ascii="Euclid Fraktur" w:hAnsi="Euclid Fraktur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20323"/>
    <w:multiLevelType w:val="hybridMultilevel"/>
    <w:tmpl w:val="1FCEA6CE"/>
    <w:lvl w:ilvl="0" w:tplc="E294D50E">
      <w:start w:val="1"/>
      <w:numFmt w:val="bullet"/>
      <w:lvlText w:val="-"/>
      <w:lvlJc w:val="left"/>
      <w:pPr>
        <w:ind w:left="720" w:hanging="360"/>
      </w:pPr>
      <w:rPr>
        <w:rFonts w:ascii="Euclid Fraktur" w:hAnsi="Euclid Fraktur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A281E"/>
    <w:multiLevelType w:val="hybridMultilevel"/>
    <w:tmpl w:val="7032B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96AB4"/>
    <w:multiLevelType w:val="hybridMultilevel"/>
    <w:tmpl w:val="C87E02E4"/>
    <w:lvl w:ilvl="0" w:tplc="E294D50E">
      <w:start w:val="1"/>
      <w:numFmt w:val="bullet"/>
      <w:lvlText w:val="-"/>
      <w:lvlJc w:val="left"/>
      <w:pPr>
        <w:ind w:left="720" w:hanging="360"/>
      </w:pPr>
      <w:rPr>
        <w:rFonts w:ascii="Euclid Fraktur" w:hAnsi="Euclid Fraktur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179BD"/>
    <w:multiLevelType w:val="hybridMultilevel"/>
    <w:tmpl w:val="3452B726"/>
    <w:lvl w:ilvl="0" w:tplc="B992B0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BF"/>
    <w:rsid w:val="00016678"/>
    <w:rsid w:val="00030502"/>
    <w:rsid w:val="00042F6A"/>
    <w:rsid w:val="00044AE0"/>
    <w:rsid w:val="00097A5F"/>
    <w:rsid w:val="000A6A4F"/>
    <w:rsid w:val="000C73F4"/>
    <w:rsid w:val="000D1763"/>
    <w:rsid w:val="000E046B"/>
    <w:rsid w:val="000E062E"/>
    <w:rsid w:val="000E1BD7"/>
    <w:rsid w:val="00120429"/>
    <w:rsid w:val="00121366"/>
    <w:rsid w:val="00123D92"/>
    <w:rsid w:val="001267E4"/>
    <w:rsid w:val="001407DB"/>
    <w:rsid w:val="001448EB"/>
    <w:rsid w:val="0014554F"/>
    <w:rsid w:val="00150F9E"/>
    <w:rsid w:val="001652D1"/>
    <w:rsid w:val="00170188"/>
    <w:rsid w:val="001738C3"/>
    <w:rsid w:val="00185A1E"/>
    <w:rsid w:val="001B56B5"/>
    <w:rsid w:val="001B73F3"/>
    <w:rsid w:val="001C0E07"/>
    <w:rsid w:val="001D020B"/>
    <w:rsid w:val="001D6975"/>
    <w:rsid w:val="001E2727"/>
    <w:rsid w:val="001E670D"/>
    <w:rsid w:val="001F2C53"/>
    <w:rsid w:val="002110FC"/>
    <w:rsid w:val="00212E5E"/>
    <w:rsid w:val="002264D0"/>
    <w:rsid w:val="00230D28"/>
    <w:rsid w:val="00231DC4"/>
    <w:rsid w:val="00232C9C"/>
    <w:rsid w:val="0023311B"/>
    <w:rsid w:val="00240A69"/>
    <w:rsid w:val="00246358"/>
    <w:rsid w:val="0025008E"/>
    <w:rsid w:val="00263EA2"/>
    <w:rsid w:val="002860EB"/>
    <w:rsid w:val="00290591"/>
    <w:rsid w:val="002A595D"/>
    <w:rsid w:val="002B30BA"/>
    <w:rsid w:val="002C6EFD"/>
    <w:rsid w:val="002D19CB"/>
    <w:rsid w:val="002D2443"/>
    <w:rsid w:val="002D2EA0"/>
    <w:rsid w:val="002D419B"/>
    <w:rsid w:val="002E7ABB"/>
    <w:rsid w:val="002F1CCD"/>
    <w:rsid w:val="003019E6"/>
    <w:rsid w:val="00317E81"/>
    <w:rsid w:val="00346422"/>
    <w:rsid w:val="00351F8D"/>
    <w:rsid w:val="00353C80"/>
    <w:rsid w:val="003720E5"/>
    <w:rsid w:val="003827FD"/>
    <w:rsid w:val="00394035"/>
    <w:rsid w:val="003B137E"/>
    <w:rsid w:val="003C1AD5"/>
    <w:rsid w:val="003C5132"/>
    <w:rsid w:val="003E2E65"/>
    <w:rsid w:val="003F6A79"/>
    <w:rsid w:val="0040423B"/>
    <w:rsid w:val="00423CA6"/>
    <w:rsid w:val="004257A3"/>
    <w:rsid w:val="004553EC"/>
    <w:rsid w:val="00457DBF"/>
    <w:rsid w:val="004955D9"/>
    <w:rsid w:val="00496D07"/>
    <w:rsid w:val="004A6DFE"/>
    <w:rsid w:val="004C4CAF"/>
    <w:rsid w:val="004D2E5B"/>
    <w:rsid w:val="00500E93"/>
    <w:rsid w:val="005337E0"/>
    <w:rsid w:val="00564288"/>
    <w:rsid w:val="00566267"/>
    <w:rsid w:val="00585582"/>
    <w:rsid w:val="005A452D"/>
    <w:rsid w:val="005B4615"/>
    <w:rsid w:val="005B5EE2"/>
    <w:rsid w:val="005C1BAE"/>
    <w:rsid w:val="005D2C57"/>
    <w:rsid w:val="005D5B46"/>
    <w:rsid w:val="005F63FF"/>
    <w:rsid w:val="00601650"/>
    <w:rsid w:val="006044CF"/>
    <w:rsid w:val="00655D0D"/>
    <w:rsid w:val="00671B54"/>
    <w:rsid w:val="00672AA4"/>
    <w:rsid w:val="00676E73"/>
    <w:rsid w:val="006A28EA"/>
    <w:rsid w:val="006A54DF"/>
    <w:rsid w:val="006B7F81"/>
    <w:rsid w:val="006D4070"/>
    <w:rsid w:val="006D7447"/>
    <w:rsid w:val="006E3F9D"/>
    <w:rsid w:val="006E7210"/>
    <w:rsid w:val="0070010D"/>
    <w:rsid w:val="00701C6C"/>
    <w:rsid w:val="00701D3F"/>
    <w:rsid w:val="007148C2"/>
    <w:rsid w:val="00716A1A"/>
    <w:rsid w:val="007209B5"/>
    <w:rsid w:val="00760D8A"/>
    <w:rsid w:val="00765808"/>
    <w:rsid w:val="007821B4"/>
    <w:rsid w:val="00794326"/>
    <w:rsid w:val="0079794E"/>
    <w:rsid w:val="007A343B"/>
    <w:rsid w:val="007B3EF0"/>
    <w:rsid w:val="007C2479"/>
    <w:rsid w:val="007D26E9"/>
    <w:rsid w:val="007D3DBF"/>
    <w:rsid w:val="007D7F12"/>
    <w:rsid w:val="007E2ED3"/>
    <w:rsid w:val="007E75A0"/>
    <w:rsid w:val="008028E6"/>
    <w:rsid w:val="00803814"/>
    <w:rsid w:val="008108F2"/>
    <w:rsid w:val="00826458"/>
    <w:rsid w:val="00833250"/>
    <w:rsid w:val="008367AD"/>
    <w:rsid w:val="00842669"/>
    <w:rsid w:val="00865CC4"/>
    <w:rsid w:val="008671A5"/>
    <w:rsid w:val="0087119C"/>
    <w:rsid w:val="00872BB2"/>
    <w:rsid w:val="008809A9"/>
    <w:rsid w:val="00884117"/>
    <w:rsid w:val="008863E4"/>
    <w:rsid w:val="008A5FF4"/>
    <w:rsid w:val="008E6C6C"/>
    <w:rsid w:val="008F3BBF"/>
    <w:rsid w:val="009023FE"/>
    <w:rsid w:val="0090687C"/>
    <w:rsid w:val="00910218"/>
    <w:rsid w:val="00915B3E"/>
    <w:rsid w:val="00933620"/>
    <w:rsid w:val="009376C1"/>
    <w:rsid w:val="00942E6A"/>
    <w:rsid w:val="00954064"/>
    <w:rsid w:val="009551CD"/>
    <w:rsid w:val="0096138B"/>
    <w:rsid w:val="009766D8"/>
    <w:rsid w:val="009A19EE"/>
    <w:rsid w:val="009A43F3"/>
    <w:rsid w:val="009A5FD4"/>
    <w:rsid w:val="009C2021"/>
    <w:rsid w:val="009C7B63"/>
    <w:rsid w:val="009D215E"/>
    <w:rsid w:val="009D4DD6"/>
    <w:rsid w:val="009D6ACB"/>
    <w:rsid w:val="009E0CC2"/>
    <w:rsid w:val="009E119A"/>
    <w:rsid w:val="009E61AC"/>
    <w:rsid w:val="009E67C9"/>
    <w:rsid w:val="009F2FC3"/>
    <w:rsid w:val="00A10BA7"/>
    <w:rsid w:val="00A13273"/>
    <w:rsid w:val="00A17BA5"/>
    <w:rsid w:val="00A330F5"/>
    <w:rsid w:val="00A51667"/>
    <w:rsid w:val="00A6262F"/>
    <w:rsid w:val="00AA0C51"/>
    <w:rsid w:val="00AB454D"/>
    <w:rsid w:val="00AE0C16"/>
    <w:rsid w:val="00AE48B2"/>
    <w:rsid w:val="00B00005"/>
    <w:rsid w:val="00B07B4D"/>
    <w:rsid w:val="00B13C4F"/>
    <w:rsid w:val="00B27CB4"/>
    <w:rsid w:val="00B3140D"/>
    <w:rsid w:val="00B34862"/>
    <w:rsid w:val="00B35D29"/>
    <w:rsid w:val="00B45B05"/>
    <w:rsid w:val="00B60BAC"/>
    <w:rsid w:val="00B662CD"/>
    <w:rsid w:val="00B722CB"/>
    <w:rsid w:val="00B9005A"/>
    <w:rsid w:val="00B94558"/>
    <w:rsid w:val="00BA465A"/>
    <w:rsid w:val="00BB1110"/>
    <w:rsid w:val="00BC015A"/>
    <w:rsid w:val="00BD5FC3"/>
    <w:rsid w:val="00BE0660"/>
    <w:rsid w:val="00BE1766"/>
    <w:rsid w:val="00BF0A41"/>
    <w:rsid w:val="00C235A7"/>
    <w:rsid w:val="00C31356"/>
    <w:rsid w:val="00C60526"/>
    <w:rsid w:val="00C6088A"/>
    <w:rsid w:val="00C75C00"/>
    <w:rsid w:val="00C80507"/>
    <w:rsid w:val="00C933E6"/>
    <w:rsid w:val="00C95296"/>
    <w:rsid w:val="00CB207B"/>
    <w:rsid w:val="00CB7DD8"/>
    <w:rsid w:val="00CD25D4"/>
    <w:rsid w:val="00CD3A99"/>
    <w:rsid w:val="00CF3BE3"/>
    <w:rsid w:val="00D02385"/>
    <w:rsid w:val="00D0763F"/>
    <w:rsid w:val="00D40731"/>
    <w:rsid w:val="00D44426"/>
    <w:rsid w:val="00D44A48"/>
    <w:rsid w:val="00D51581"/>
    <w:rsid w:val="00D5283B"/>
    <w:rsid w:val="00D56F2B"/>
    <w:rsid w:val="00D71F28"/>
    <w:rsid w:val="00D72BB2"/>
    <w:rsid w:val="00D848AC"/>
    <w:rsid w:val="00D86844"/>
    <w:rsid w:val="00D86C3A"/>
    <w:rsid w:val="00D91C1A"/>
    <w:rsid w:val="00D95D39"/>
    <w:rsid w:val="00DA349E"/>
    <w:rsid w:val="00DA561C"/>
    <w:rsid w:val="00DA7E9E"/>
    <w:rsid w:val="00DB5207"/>
    <w:rsid w:val="00DD37BA"/>
    <w:rsid w:val="00DD797A"/>
    <w:rsid w:val="00E06BC6"/>
    <w:rsid w:val="00E1034F"/>
    <w:rsid w:val="00E10FC2"/>
    <w:rsid w:val="00E15E6B"/>
    <w:rsid w:val="00E26E8C"/>
    <w:rsid w:val="00E27459"/>
    <w:rsid w:val="00E32191"/>
    <w:rsid w:val="00E32D2F"/>
    <w:rsid w:val="00E40CBF"/>
    <w:rsid w:val="00E41205"/>
    <w:rsid w:val="00E4308C"/>
    <w:rsid w:val="00E46746"/>
    <w:rsid w:val="00E508AC"/>
    <w:rsid w:val="00E51F22"/>
    <w:rsid w:val="00E70265"/>
    <w:rsid w:val="00E76A66"/>
    <w:rsid w:val="00E77A76"/>
    <w:rsid w:val="00E85E04"/>
    <w:rsid w:val="00E900B4"/>
    <w:rsid w:val="00EA000B"/>
    <w:rsid w:val="00EA3BC1"/>
    <w:rsid w:val="00EA70E4"/>
    <w:rsid w:val="00EA75FD"/>
    <w:rsid w:val="00EC522F"/>
    <w:rsid w:val="00ED35D7"/>
    <w:rsid w:val="00ED5ADB"/>
    <w:rsid w:val="00ED660B"/>
    <w:rsid w:val="00EE489E"/>
    <w:rsid w:val="00EE524B"/>
    <w:rsid w:val="00EF171E"/>
    <w:rsid w:val="00F06809"/>
    <w:rsid w:val="00F17A0F"/>
    <w:rsid w:val="00F31FE5"/>
    <w:rsid w:val="00F52F6C"/>
    <w:rsid w:val="00F671AF"/>
    <w:rsid w:val="00F816A6"/>
    <w:rsid w:val="00F91B92"/>
    <w:rsid w:val="00FA2A3E"/>
    <w:rsid w:val="00FB7626"/>
    <w:rsid w:val="00FB78EF"/>
    <w:rsid w:val="00FC3FC4"/>
    <w:rsid w:val="00FC7851"/>
    <w:rsid w:val="00FD1A46"/>
    <w:rsid w:val="00FD515A"/>
    <w:rsid w:val="00FE0CA2"/>
    <w:rsid w:val="00F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188"/>
  </w:style>
  <w:style w:type="paragraph" w:styleId="Heading1">
    <w:name w:val="heading 1"/>
    <w:basedOn w:val="Normal"/>
    <w:next w:val="Normal"/>
    <w:link w:val="Heading1Char"/>
    <w:uiPriority w:val="9"/>
    <w:qFormat/>
    <w:rsid w:val="00170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1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1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1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1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1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1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1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0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1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1701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18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DBF"/>
  </w:style>
  <w:style w:type="character" w:customStyle="1" w:styleId="BodyTextChar">
    <w:name w:val="Body Text Char"/>
    <w:basedOn w:val="DefaultParagraphFont"/>
    <w:link w:val="BodyText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FootnoteText">
    <w:name w:val="footnote text"/>
    <w:basedOn w:val="Normal"/>
    <w:link w:val="FootnoteTextChar"/>
    <w:uiPriority w:val="99"/>
    <w:unhideWhenUsed/>
    <w:rsid w:val="007D3DBF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FootnoteReference">
    <w:name w:val="footnote reference"/>
    <w:uiPriority w:val="99"/>
    <w:rsid w:val="007D3D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018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3311B"/>
    <w:pPr>
      <w:tabs>
        <w:tab w:val="right" w:leader="dot" w:pos="9016"/>
      </w:tabs>
      <w:spacing w:after="100"/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6E3F9D"/>
    <w:pPr>
      <w:tabs>
        <w:tab w:val="left" w:pos="1440"/>
        <w:tab w:val="right" w:leader="dot" w:pos="9016"/>
      </w:tabs>
      <w:spacing w:after="100"/>
      <w:ind w:left="1560" w:hanging="1560"/>
    </w:pPr>
    <w:rPr>
      <w:rFonts w:ascii="Modern No. 20" w:eastAsia="Times New Roman" w:hAnsi="Modern No. 20"/>
      <w:noProof/>
      <w:lang w:val="en-US" w:eastAsia="el-GR"/>
    </w:rPr>
  </w:style>
  <w:style w:type="paragraph" w:styleId="TOC3">
    <w:name w:val="toc 3"/>
    <w:basedOn w:val="Normal"/>
    <w:next w:val="Normal"/>
    <w:autoRedefine/>
    <w:uiPriority w:val="39"/>
    <w:unhideWhenUsed/>
    <w:rsid w:val="009C2021"/>
    <w:pPr>
      <w:tabs>
        <w:tab w:val="left" w:pos="1680"/>
        <w:tab w:val="right" w:leader="dot" w:pos="9016"/>
      </w:tabs>
      <w:spacing w:after="100"/>
      <w:ind w:left="426" w:hanging="142"/>
    </w:pPr>
  </w:style>
  <w:style w:type="paragraph" w:styleId="TOC4">
    <w:name w:val="toc 4"/>
    <w:basedOn w:val="Normal"/>
    <w:next w:val="Normal"/>
    <w:autoRedefine/>
    <w:uiPriority w:val="39"/>
    <w:unhideWhenUsed/>
    <w:rsid w:val="009F2FC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F2FC3"/>
    <w:pPr>
      <w:spacing w:after="100"/>
      <w:ind w:left="960"/>
    </w:pPr>
  </w:style>
  <w:style w:type="character" w:styleId="Hyperlink">
    <w:name w:val="Hyperlink"/>
    <w:basedOn w:val="DefaultParagraphFont"/>
    <w:uiPriority w:val="99"/>
    <w:unhideWhenUsed/>
    <w:rsid w:val="009F2FC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Caption">
    <w:name w:val="caption"/>
    <w:basedOn w:val="Normal"/>
    <w:next w:val="Normal"/>
    <w:uiPriority w:val="35"/>
    <w:unhideWhenUsed/>
    <w:qFormat/>
    <w:rsid w:val="001701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448E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701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9059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9059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90591"/>
    <w:rPr>
      <w:rFonts w:ascii="Arial" w:eastAsia="Times New Roman" w:hAnsi="Arial" w:cs="Arial"/>
      <w:vanish/>
      <w:sz w:val="16"/>
      <w:szCs w:val="16"/>
      <w:lang w:eastAsia="el-GR"/>
    </w:rPr>
  </w:style>
  <w:style w:type="numbering" w:customStyle="1" w:styleId="1">
    <w:name w:val="Χωρίς λίστα1"/>
    <w:next w:val="NoList"/>
    <w:semiHidden/>
    <w:unhideWhenUsed/>
    <w:rsid w:val="00B35D29"/>
  </w:style>
  <w:style w:type="character" w:styleId="PageNumber">
    <w:name w:val="page number"/>
    <w:basedOn w:val="DefaultParagraphFont"/>
    <w:rsid w:val="00B35D29"/>
  </w:style>
  <w:style w:type="table" w:styleId="TableGrid">
    <w:name w:val="Table Grid"/>
    <w:basedOn w:val="TableNormal"/>
    <w:uiPriority w:val="59"/>
    <w:rsid w:val="00B3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B35D2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rsid w:val="00B35D2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EndnoteReference">
    <w:name w:val="endnote reference"/>
    <w:basedOn w:val="DefaultParagraphFont"/>
    <w:rsid w:val="00B35D29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0BA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0BAC"/>
    <w:rPr>
      <w:rFonts w:ascii="Consolas" w:eastAsia="Times New Roman" w:hAnsi="Consolas" w:cs="Consolas"/>
      <w:sz w:val="21"/>
      <w:szCs w:val="21"/>
      <w:lang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17018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70188"/>
    <w:rPr>
      <w:i/>
      <w:iCs/>
      <w:color w:val="000000" w:themeColor="text1"/>
    </w:rPr>
  </w:style>
  <w:style w:type="paragraph" w:styleId="NormalIndent">
    <w:name w:val="Normal Indent"/>
    <w:basedOn w:val="Normal"/>
    <w:uiPriority w:val="99"/>
    <w:semiHidden/>
    <w:unhideWhenUsed/>
    <w:rsid w:val="00B60BAC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B60BAC"/>
  </w:style>
  <w:style w:type="paragraph" w:styleId="HTMLAddress">
    <w:name w:val="HTML Address"/>
    <w:basedOn w:val="Normal"/>
    <w:link w:val="HTMLAddressChar"/>
    <w:uiPriority w:val="99"/>
    <w:semiHidden/>
    <w:unhideWhenUsed/>
    <w:rsid w:val="00B60B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60BAC"/>
    <w:rPr>
      <w:rFonts w:eastAsia="Times New Roman" w:cs="Times New Roman"/>
      <w:i/>
      <w:iCs/>
      <w:sz w:val="24"/>
      <w:szCs w:val="20"/>
      <w:lang w:eastAsia="el-GR"/>
    </w:rPr>
  </w:style>
  <w:style w:type="paragraph" w:styleId="EnvelopeReturn">
    <w:name w:val="envelope return"/>
    <w:basedOn w:val="Normal"/>
    <w:uiPriority w:val="99"/>
    <w:semiHidden/>
    <w:unhideWhenUsed/>
    <w:rsid w:val="00B60BAC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B60B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1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188"/>
    <w:rPr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1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1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1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1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B60BAC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60BAC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B60BA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0188"/>
    <w:pPr>
      <w:outlineLvl w:val="9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60BA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2160" w:hanging="2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60BAC"/>
  </w:style>
  <w:style w:type="character" w:customStyle="1" w:styleId="DateChar">
    <w:name w:val="Date Char"/>
    <w:basedOn w:val="DefaultParagraphFont"/>
    <w:link w:val="Date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BA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BAC"/>
    <w:rPr>
      <w:rFonts w:eastAsia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BAC"/>
    <w:rPr>
      <w:rFonts w:eastAsia="Times New Roman" w:cs="Times New Roman"/>
      <w:b/>
      <w:bCs/>
      <w:sz w:val="20"/>
      <w:szCs w:val="20"/>
      <w:lang w:eastAsia="el-GR"/>
    </w:rPr>
  </w:style>
  <w:style w:type="paragraph" w:styleId="MacroText">
    <w:name w:val="macro"/>
    <w:link w:val="MacroTextChar"/>
    <w:uiPriority w:val="99"/>
    <w:semiHidden/>
    <w:unhideWhenUsed/>
    <w:rsid w:val="00B60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ind w:firstLine="720"/>
    </w:pPr>
    <w:rPr>
      <w:rFonts w:ascii="Consolas" w:eastAsia="Times New Roman" w:hAnsi="Consolas" w:cs="Consolas"/>
      <w:sz w:val="20"/>
      <w:szCs w:val="20"/>
      <w:lang w:eastAsia="el-GR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0BAC"/>
    <w:rPr>
      <w:rFonts w:ascii="Consolas" w:eastAsia="Times New Roman" w:hAnsi="Consolas" w:cs="Consolas"/>
      <w:sz w:val="20"/>
      <w:szCs w:val="20"/>
      <w:lang w:eastAsia="el-G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60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60BAC"/>
    <w:rPr>
      <w:rFonts w:asciiTheme="majorHAnsi" w:eastAsiaTheme="majorEastAsia" w:hAnsiTheme="majorHAnsi" w:cstheme="majorBidi"/>
      <w:sz w:val="24"/>
      <w:szCs w:val="24"/>
      <w:shd w:val="pct20" w:color="auto" w:fill="auto"/>
      <w:lang w:eastAsia="el-GR"/>
    </w:rPr>
  </w:style>
  <w:style w:type="paragraph" w:styleId="Closing">
    <w:name w:val="Closing"/>
    <w:basedOn w:val="Normal"/>
    <w:link w:val="ClosingChar"/>
    <w:uiPriority w:val="99"/>
    <w:semiHidden/>
    <w:unhideWhenUsed/>
    <w:rsid w:val="00B60BA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List">
    <w:name w:val="List"/>
    <w:basedOn w:val="Normal"/>
    <w:uiPriority w:val="99"/>
    <w:semiHidden/>
    <w:unhideWhenUsed/>
    <w:rsid w:val="00B60B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60B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60BA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60BA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60BAC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B60BAC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60BAC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60BAC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60BAC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60BAC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B60BAC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60BAC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60BAC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60BAC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60BAC"/>
    <w:pPr>
      <w:numPr>
        <w:numId w:val="11"/>
      </w:numPr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60BAC"/>
    <w:pPr>
      <w:spacing w:after="0"/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60BA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60BA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60BA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60BAC"/>
    <w:pPr>
      <w:spacing w:after="100"/>
      <w:ind w:left="19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0BAC"/>
    <w:pPr>
      <w:spacing w:after="0"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0BAC"/>
    <w:rPr>
      <w:rFonts w:ascii="Consolas" w:eastAsia="Times New Roman" w:hAnsi="Consolas" w:cs="Consolas"/>
      <w:sz w:val="20"/>
      <w:szCs w:val="20"/>
      <w:lang w:eastAsia="el-GR"/>
    </w:rPr>
  </w:style>
  <w:style w:type="paragraph" w:styleId="ListContinue">
    <w:name w:val="List Continue"/>
    <w:basedOn w:val="Normal"/>
    <w:uiPriority w:val="99"/>
    <w:semiHidden/>
    <w:unhideWhenUsed/>
    <w:rsid w:val="00B60BAC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60BAC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60BAC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60BAC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60BAC"/>
    <w:pPr>
      <w:ind w:left="1415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60BA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0BA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0BAC"/>
    <w:rPr>
      <w:rFonts w:eastAsia="Times New Roman" w:cs="Times New Roman"/>
      <w:sz w:val="16"/>
      <w:szCs w:val="16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0BA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0BA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0BA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0BAC"/>
    <w:rPr>
      <w:rFonts w:eastAsia="Times New Roman" w:cs="Times New Roman"/>
      <w:sz w:val="16"/>
      <w:szCs w:val="16"/>
      <w:lang w:eastAsia="el-GR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60BA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60BAC"/>
    <w:rPr>
      <w:rFonts w:ascii="Arial" w:eastAsia="Times New Roman" w:hAnsi="Arial" w:cs="Times New Roman"/>
      <w:sz w:val="24"/>
      <w:szCs w:val="20"/>
      <w:lang w:eastAsia="el-G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60BAC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BlockText">
    <w:name w:val="Block Text"/>
    <w:basedOn w:val="Normal"/>
    <w:uiPriority w:val="99"/>
    <w:semiHidden/>
    <w:unhideWhenUsed/>
    <w:rsid w:val="00B60BA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60BA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60B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0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60B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0B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0BAC"/>
    <w:rPr>
      <w:rFonts w:ascii="Segoe UI" w:eastAsia="Times New Roman" w:hAnsi="Segoe UI" w:cs="Segoe UI"/>
      <w:sz w:val="16"/>
      <w:szCs w:val="16"/>
      <w:lang w:eastAsia="el-GR"/>
    </w:rPr>
  </w:style>
  <w:style w:type="paragraph" w:styleId="NoSpacing">
    <w:name w:val="No Spacing"/>
    <w:uiPriority w:val="1"/>
    <w:qFormat/>
    <w:rsid w:val="00170188"/>
    <w:pPr>
      <w:spacing w:after="0" w:line="240" w:lineRule="auto"/>
    </w:pPr>
  </w:style>
  <w:style w:type="numbering" w:customStyle="1" w:styleId="2">
    <w:name w:val="Χωρίς λίστα2"/>
    <w:next w:val="NoList"/>
    <w:semiHidden/>
    <w:rsid w:val="002E7ABB"/>
  </w:style>
  <w:style w:type="numbering" w:customStyle="1" w:styleId="3">
    <w:name w:val="Χωρίς λίστα3"/>
    <w:next w:val="NoList"/>
    <w:uiPriority w:val="99"/>
    <w:semiHidden/>
    <w:unhideWhenUsed/>
    <w:rsid w:val="00F91B92"/>
  </w:style>
  <w:style w:type="table" w:customStyle="1" w:styleId="10">
    <w:name w:val="Πλέγμα πίνακα1"/>
    <w:basedOn w:val="TableNormal"/>
    <w:next w:val="TableGrid"/>
    <w:uiPriority w:val="59"/>
    <w:rsid w:val="00F91B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">
    <w:name w:val="Χωρίς λίστα4"/>
    <w:next w:val="NoList"/>
    <w:uiPriority w:val="99"/>
    <w:semiHidden/>
    <w:unhideWhenUsed/>
    <w:rsid w:val="00EE489E"/>
  </w:style>
  <w:style w:type="table" w:customStyle="1" w:styleId="20">
    <w:name w:val="Πλέγμα πίνακα2"/>
    <w:basedOn w:val="TableNormal"/>
    <w:next w:val="TableGrid"/>
    <w:uiPriority w:val="59"/>
    <w:rsid w:val="00EE4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">
    <w:name w:val="Χωρίς λίστα5"/>
    <w:next w:val="NoList"/>
    <w:uiPriority w:val="99"/>
    <w:semiHidden/>
    <w:unhideWhenUsed/>
    <w:rsid w:val="007C2479"/>
  </w:style>
  <w:style w:type="table" w:customStyle="1" w:styleId="30">
    <w:name w:val="Πλέγμα πίνακα3"/>
    <w:basedOn w:val="TableNormal"/>
    <w:next w:val="TableGrid"/>
    <w:uiPriority w:val="59"/>
    <w:rsid w:val="007C24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">
    <w:name w:val="Χωρίς λίστα6"/>
    <w:next w:val="NoList"/>
    <w:uiPriority w:val="99"/>
    <w:semiHidden/>
    <w:unhideWhenUsed/>
    <w:rsid w:val="0025008E"/>
  </w:style>
  <w:style w:type="table" w:customStyle="1" w:styleId="40">
    <w:name w:val="Πλέγμα πίνακα4"/>
    <w:basedOn w:val="TableNormal"/>
    <w:next w:val="TableGrid"/>
    <w:uiPriority w:val="59"/>
    <w:rsid w:val="002500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Χωρίς λίστα7"/>
    <w:next w:val="NoList"/>
    <w:uiPriority w:val="99"/>
    <w:semiHidden/>
    <w:unhideWhenUsed/>
    <w:rsid w:val="00317E81"/>
  </w:style>
  <w:style w:type="table" w:customStyle="1" w:styleId="50">
    <w:name w:val="Πλέγμα πίνακα5"/>
    <w:basedOn w:val="TableNormal"/>
    <w:next w:val="TableGrid"/>
    <w:uiPriority w:val="59"/>
    <w:rsid w:val="00317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Χωρίς λίστα8"/>
    <w:next w:val="NoList"/>
    <w:uiPriority w:val="99"/>
    <w:semiHidden/>
    <w:unhideWhenUsed/>
    <w:rsid w:val="00394035"/>
  </w:style>
  <w:style w:type="table" w:customStyle="1" w:styleId="60">
    <w:name w:val="Πλέγμα πίνακα6"/>
    <w:basedOn w:val="TableNormal"/>
    <w:next w:val="TableGrid"/>
    <w:uiPriority w:val="59"/>
    <w:rsid w:val="003940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Χωρίς λίστα9"/>
    <w:next w:val="NoList"/>
    <w:uiPriority w:val="99"/>
    <w:semiHidden/>
    <w:unhideWhenUsed/>
    <w:rsid w:val="00D848AC"/>
  </w:style>
  <w:style w:type="table" w:customStyle="1" w:styleId="70">
    <w:name w:val="Πλέγμα πίνακα7"/>
    <w:basedOn w:val="TableNormal"/>
    <w:next w:val="TableGrid"/>
    <w:uiPriority w:val="59"/>
    <w:rsid w:val="00D848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Χωρίς λίστα10"/>
    <w:next w:val="NoList"/>
    <w:uiPriority w:val="99"/>
    <w:semiHidden/>
    <w:unhideWhenUsed/>
    <w:rsid w:val="006044CF"/>
  </w:style>
  <w:style w:type="table" w:customStyle="1" w:styleId="80">
    <w:name w:val="Πλέγμα πίνακα8"/>
    <w:basedOn w:val="TableNormal"/>
    <w:next w:val="TableGrid"/>
    <w:uiPriority w:val="59"/>
    <w:rsid w:val="00604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Χωρίς λίστα11"/>
    <w:next w:val="NoList"/>
    <w:uiPriority w:val="99"/>
    <w:semiHidden/>
    <w:unhideWhenUsed/>
    <w:rsid w:val="00C95296"/>
  </w:style>
  <w:style w:type="character" w:styleId="Strong">
    <w:name w:val="Strong"/>
    <w:basedOn w:val="DefaultParagraphFont"/>
    <w:uiPriority w:val="22"/>
    <w:qFormat/>
    <w:rsid w:val="0017018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529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5296"/>
    <w:rPr>
      <w:rFonts w:ascii="Arial" w:eastAsia="Times New Roman" w:hAnsi="Arial" w:cs="Arial"/>
      <w:vanish/>
      <w:sz w:val="16"/>
      <w:szCs w:val="16"/>
      <w:lang w:eastAsia="el-GR"/>
    </w:rPr>
  </w:style>
  <w:style w:type="table" w:customStyle="1" w:styleId="90">
    <w:name w:val="Πλέγμα πίνακα9"/>
    <w:basedOn w:val="TableNormal"/>
    <w:next w:val="TableGrid"/>
    <w:uiPriority w:val="59"/>
    <w:rsid w:val="00C952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17018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7018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7018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7018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7018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018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188"/>
  </w:style>
  <w:style w:type="paragraph" w:styleId="Heading1">
    <w:name w:val="heading 1"/>
    <w:basedOn w:val="Normal"/>
    <w:next w:val="Normal"/>
    <w:link w:val="Heading1Char"/>
    <w:uiPriority w:val="9"/>
    <w:qFormat/>
    <w:rsid w:val="00170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1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1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1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1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1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1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1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0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1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1701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18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DBF"/>
  </w:style>
  <w:style w:type="character" w:customStyle="1" w:styleId="BodyTextChar">
    <w:name w:val="Body Text Char"/>
    <w:basedOn w:val="DefaultParagraphFont"/>
    <w:link w:val="BodyText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FootnoteText">
    <w:name w:val="footnote text"/>
    <w:basedOn w:val="Normal"/>
    <w:link w:val="FootnoteTextChar"/>
    <w:uiPriority w:val="99"/>
    <w:unhideWhenUsed/>
    <w:rsid w:val="007D3DBF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FootnoteReference">
    <w:name w:val="footnote reference"/>
    <w:uiPriority w:val="99"/>
    <w:rsid w:val="007D3D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018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3311B"/>
    <w:pPr>
      <w:tabs>
        <w:tab w:val="right" w:leader="dot" w:pos="9016"/>
      </w:tabs>
      <w:spacing w:after="100"/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6E3F9D"/>
    <w:pPr>
      <w:tabs>
        <w:tab w:val="left" w:pos="1440"/>
        <w:tab w:val="right" w:leader="dot" w:pos="9016"/>
      </w:tabs>
      <w:spacing w:after="100"/>
      <w:ind w:left="1560" w:hanging="1560"/>
    </w:pPr>
    <w:rPr>
      <w:rFonts w:ascii="Modern No. 20" w:eastAsia="Times New Roman" w:hAnsi="Modern No. 20"/>
      <w:noProof/>
      <w:lang w:val="en-US" w:eastAsia="el-GR"/>
    </w:rPr>
  </w:style>
  <w:style w:type="paragraph" w:styleId="TOC3">
    <w:name w:val="toc 3"/>
    <w:basedOn w:val="Normal"/>
    <w:next w:val="Normal"/>
    <w:autoRedefine/>
    <w:uiPriority w:val="39"/>
    <w:unhideWhenUsed/>
    <w:rsid w:val="009C2021"/>
    <w:pPr>
      <w:tabs>
        <w:tab w:val="left" w:pos="1680"/>
        <w:tab w:val="right" w:leader="dot" w:pos="9016"/>
      </w:tabs>
      <w:spacing w:after="100"/>
      <w:ind w:left="426" w:hanging="142"/>
    </w:pPr>
  </w:style>
  <w:style w:type="paragraph" w:styleId="TOC4">
    <w:name w:val="toc 4"/>
    <w:basedOn w:val="Normal"/>
    <w:next w:val="Normal"/>
    <w:autoRedefine/>
    <w:uiPriority w:val="39"/>
    <w:unhideWhenUsed/>
    <w:rsid w:val="009F2FC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F2FC3"/>
    <w:pPr>
      <w:spacing w:after="100"/>
      <w:ind w:left="960"/>
    </w:pPr>
  </w:style>
  <w:style w:type="character" w:styleId="Hyperlink">
    <w:name w:val="Hyperlink"/>
    <w:basedOn w:val="DefaultParagraphFont"/>
    <w:uiPriority w:val="99"/>
    <w:unhideWhenUsed/>
    <w:rsid w:val="009F2FC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Caption">
    <w:name w:val="caption"/>
    <w:basedOn w:val="Normal"/>
    <w:next w:val="Normal"/>
    <w:uiPriority w:val="35"/>
    <w:unhideWhenUsed/>
    <w:qFormat/>
    <w:rsid w:val="001701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448E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701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9059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9059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90591"/>
    <w:rPr>
      <w:rFonts w:ascii="Arial" w:eastAsia="Times New Roman" w:hAnsi="Arial" w:cs="Arial"/>
      <w:vanish/>
      <w:sz w:val="16"/>
      <w:szCs w:val="16"/>
      <w:lang w:eastAsia="el-GR"/>
    </w:rPr>
  </w:style>
  <w:style w:type="numbering" w:customStyle="1" w:styleId="1">
    <w:name w:val="Χωρίς λίστα1"/>
    <w:next w:val="NoList"/>
    <w:semiHidden/>
    <w:unhideWhenUsed/>
    <w:rsid w:val="00B35D29"/>
  </w:style>
  <w:style w:type="character" w:styleId="PageNumber">
    <w:name w:val="page number"/>
    <w:basedOn w:val="DefaultParagraphFont"/>
    <w:rsid w:val="00B35D29"/>
  </w:style>
  <w:style w:type="table" w:styleId="TableGrid">
    <w:name w:val="Table Grid"/>
    <w:basedOn w:val="TableNormal"/>
    <w:uiPriority w:val="59"/>
    <w:rsid w:val="00B3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B35D2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rsid w:val="00B35D2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EndnoteReference">
    <w:name w:val="endnote reference"/>
    <w:basedOn w:val="DefaultParagraphFont"/>
    <w:rsid w:val="00B35D29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0BA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0BAC"/>
    <w:rPr>
      <w:rFonts w:ascii="Consolas" w:eastAsia="Times New Roman" w:hAnsi="Consolas" w:cs="Consolas"/>
      <w:sz w:val="21"/>
      <w:szCs w:val="21"/>
      <w:lang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17018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70188"/>
    <w:rPr>
      <w:i/>
      <w:iCs/>
      <w:color w:val="000000" w:themeColor="text1"/>
    </w:rPr>
  </w:style>
  <w:style w:type="paragraph" w:styleId="NormalIndent">
    <w:name w:val="Normal Indent"/>
    <w:basedOn w:val="Normal"/>
    <w:uiPriority w:val="99"/>
    <w:semiHidden/>
    <w:unhideWhenUsed/>
    <w:rsid w:val="00B60BAC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B60BAC"/>
  </w:style>
  <w:style w:type="paragraph" w:styleId="HTMLAddress">
    <w:name w:val="HTML Address"/>
    <w:basedOn w:val="Normal"/>
    <w:link w:val="HTMLAddressChar"/>
    <w:uiPriority w:val="99"/>
    <w:semiHidden/>
    <w:unhideWhenUsed/>
    <w:rsid w:val="00B60B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60BAC"/>
    <w:rPr>
      <w:rFonts w:eastAsia="Times New Roman" w:cs="Times New Roman"/>
      <w:i/>
      <w:iCs/>
      <w:sz w:val="24"/>
      <w:szCs w:val="20"/>
      <w:lang w:eastAsia="el-GR"/>
    </w:rPr>
  </w:style>
  <w:style w:type="paragraph" w:styleId="EnvelopeReturn">
    <w:name w:val="envelope return"/>
    <w:basedOn w:val="Normal"/>
    <w:uiPriority w:val="99"/>
    <w:semiHidden/>
    <w:unhideWhenUsed/>
    <w:rsid w:val="00B60BAC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B60B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1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188"/>
    <w:rPr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1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1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1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1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B60BAC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60BAC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B60BA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0188"/>
    <w:pPr>
      <w:outlineLvl w:val="9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60BA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60BAC"/>
    <w:pPr>
      <w:spacing w:after="0" w:line="240" w:lineRule="auto"/>
      <w:ind w:left="2160" w:hanging="2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60BAC"/>
  </w:style>
  <w:style w:type="character" w:customStyle="1" w:styleId="DateChar">
    <w:name w:val="Date Char"/>
    <w:basedOn w:val="DefaultParagraphFont"/>
    <w:link w:val="Date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BA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BAC"/>
    <w:rPr>
      <w:rFonts w:eastAsia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BAC"/>
    <w:rPr>
      <w:rFonts w:eastAsia="Times New Roman" w:cs="Times New Roman"/>
      <w:b/>
      <w:bCs/>
      <w:sz w:val="20"/>
      <w:szCs w:val="20"/>
      <w:lang w:eastAsia="el-GR"/>
    </w:rPr>
  </w:style>
  <w:style w:type="paragraph" w:styleId="MacroText">
    <w:name w:val="macro"/>
    <w:link w:val="MacroTextChar"/>
    <w:uiPriority w:val="99"/>
    <w:semiHidden/>
    <w:unhideWhenUsed/>
    <w:rsid w:val="00B60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ind w:firstLine="720"/>
    </w:pPr>
    <w:rPr>
      <w:rFonts w:ascii="Consolas" w:eastAsia="Times New Roman" w:hAnsi="Consolas" w:cs="Consolas"/>
      <w:sz w:val="20"/>
      <w:szCs w:val="20"/>
      <w:lang w:eastAsia="el-GR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0BAC"/>
    <w:rPr>
      <w:rFonts w:ascii="Consolas" w:eastAsia="Times New Roman" w:hAnsi="Consolas" w:cs="Consolas"/>
      <w:sz w:val="20"/>
      <w:szCs w:val="20"/>
      <w:lang w:eastAsia="el-G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60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60BAC"/>
    <w:rPr>
      <w:rFonts w:asciiTheme="majorHAnsi" w:eastAsiaTheme="majorEastAsia" w:hAnsiTheme="majorHAnsi" w:cstheme="majorBidi"/>
      <w:sz w:val="24"/>
      <w:szCs w:val="24"/>
      <w:shd w:val="pct20" w:color="auto" w:fill="auto"/>
      <w:lang w:eastAsia="el-GR"/>
    </w:rPr>
  </w:style>
  <w:style w:type="paragraph" w:styleId="Closing">
    <w:name w:val="Closing"/>
    <w:basedOn w:val="Normal"/>
    <w:link w:val="ClosingChar"/>
    <w:uiPriority w:val="99"/>
    <w:semiHidden/>
    <w:unhideWhenUsed/>
    <w:rsid w:val="00B60BA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List">
    <w:name w:val="List"/>
    <w:basedOn w:val="Normal"/>
    <w:uiPriority w:val="99"/>
    <w:semiHidden/>
    <w:unhideWhenUsed/>
    <w:rsid w:val="00B60B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60B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60BA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60BA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60BAC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B60BAC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60BAC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60BAC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60BAC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60BAC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B60BAC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60BAC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60BAC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60BAC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60BAC"/>
    <w:pPr>
      <w:numPr>
        <w:numId w:val="11"/>
      </w:numPr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60BAC"/>
    <w:pPr>
      <w:spacing w:after="0"/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60BA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60BA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60BA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60BAC"/>
    <w:pPr>
      <w:spacing w:after="100"/>
      <w:ind w:left="19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0BAC"/>
    <w:pPr>
      <w:spacing w:after="0"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0BAC"/>
    <w:rPr>
      <w:rFonts w:ascii="Consolas" w:eastAsia="Times New Roman" w:hAnsi="Consolas" w:cs="Consolas"/>
      <w:sz w:val="20"/>
      <w:szCs w:val="20"/>
      <w:lang w:eastAsia="el-GR"/>
    </w:rPr>
  </w:style>
  <w:style w:type="paragraph" w:styleId="ListContinue">
    <w:name w:val="List Continue"/>
    <w:basedOn w:val="Normal"/>
    <w:uiPriority w:val="99"/>
    <w:semiHidden/>
    <w:unhideWhenUsed/>
    <w:rsid w:val="00B60BAC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60BAC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60BAC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60BAC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60BAC"/>
    <w:pPr>
      <w:ind w:left="1415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60BA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0BA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0BAC"/>
    <w:rPr>
      <w:rFonts w:eastAsia="Times New Roman" w:cs="Times New Roman"/>
      <w:sz w:val="16"/>
      <w:szCs w:val="16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0BA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0BA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0BA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0BAC"/>
    <w:rPr>
      <w:rFonts w:eastAsia="Times New Roman" w:cs="Times New Roman"/>
      <w:sz w:val="16"/>
      <w:szCs w:val="16"/>
      <w:lang w:eastAsia="el-GR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60BA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60BAC"/>
    <w:rPr>
      <w:rFonts w:ascii="Arial" w:eastAsia="Times New Roman" w:hAnsi="Arial" w:cs="Times New Roman"/>
      <w:sz w:val="24"/>
      <w:szCs w:val="20"/>
      <w:lang w:eastAsia="el-G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60BAC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BlockText">
    <w:name w:val="Block Text"/>
    <w:basedOn w:val="Normal"/>
    <w:uiPriority w:val="99"/>
    <w:semiHidden/>
    <w:unhideWhenUsed/>
    <w:rsid w:val="00B60BA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60BA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60B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0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60B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0BAC"/>
    <w:rPr>
      <w:rFonts w:eastAsia="Times New Roman" w:cs="Times New Roman"/>
      <w:sz w:val="24"/>
      <w:szCs w:val="20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0B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0BAC"/>
    <w:rPr>
      <w:rFonts w:ascii="Segoe UI" w:eastAsia="Times New Roman" w:hAnsi="Segoe UI" w:cs="Segoe UI"/>
      <w:sz w:val="16"/>
      <w:szCs w:val="16"/>
      <w:lang w:eastAsia="el-GR"/>
    </w:rPr>
  </w:style>
  <w:style w:type="paragraph" w:styleId="NoSpacing">
    <w:name w:val="No Spacing"/>
    <w:uiPriority w:val="1"/>
    <w:qFormat/>
    <w:rsid w:val="00170188"/>
    <w:pPr>
      <w:spacing w:after="0" w:line="240" w:lineRule="auto"/>
    </w:pPr>
  </w:style>
  <w:style w:type="numbering" w:customStyle="1" w:styleId="2">
    <w:name w:val="Χωρίς λίστα2"/>
    <w:next w:val="NoList"/>
    <w:semiHidden/>
    <w:rsid w:val="002E7ABB"/>
  </w:style>
  <w:style w:type="numbering" w:customStyle="1" w:styleId="3">
    <w:name w:val="Χωρίς λίστα3"/>
    <w:next w:val="NoList"/>
    <w:uiPriority w:val="99"/>
    <w:semiHidden/>
    <w:unhideWhenUsed/>
    <w:rsid w:val="00F91B92"/>
  </w:style>
  <w:style w:type="table" w:customStyle="1" w:styleId="10">
    <w:name w:val="Πλέγμα πίνακα1"/>
    <w:basedOn w:val="TableNormal"/>
    <w:next w:val="TableGrid"/>
    <w:uiPriority w:val="59"/>
    <w:rsid w:val="00F91B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">
    <w:name w:val="Χωρίς λίστα4"/>
    <w:next w:val="NoList"/>
    <w:uiPriority w:val="99"/>
    <w:semiHidden/>
    <w:unhideWhenUsed/>
    <w:rsid w:val="00EE489E"/>
  </w:style>
  <w:style w:type="table" w:customStyle="1" w:styleId="20">
    <w:name w:val="Πλέγμα πίνακα2"/>
    <w:basedOn w:val="TableNormal"/>
    <w:next w:val="TableGrid"/>
    <w:uiPriority w:val="59"/>
    <w:rsid w:val="00EE4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">
    <w:name w:val="Χωρίς λίστα5"/>
    <w:next w:val="NoList"/>
    <w:uiPriority w:val="99"/>
    <w:semiHidden/>
    <w:unhideWhenUsed/>
    <w:rsid w:val="007C2479"/>
  </w:style>
  <w:style w:type="table" w:customStyle="1" w:styleId="30">
    <w:name w:val="Πλέγμα πίνακα3"/>
    <w:basedOn w:val="TableNormal"/>
    <w:next w:val="TableGrid"/>
    <w:uiPriority w:val="59"/>
    <w:rsid w:val="007C24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">
    <w:name w:val="Χωρίς λίστα6"/>
    <w:next w:val="NoList"/>
    <w:uiPriority w:val="99"/>
    <w:semiHidden/>
    <w:unhideWhenUsed/>
    <w:rsid w:val="0025008E"/>
  </w:style>
  <w:style w:type="table" w:customStyle="1" w:styleId="40">
    <w:name w:val="Πλέγμα πίνακα4"/>
    <w:basedOn w:val="TableNormal"/>
    <w:next w:val="TableGrid"/>
    <w:uiPriority w:val="59"/>
    <w:rsid w:val="002500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Χωρίς λίστα7"/>
    <w:next w:val="NoList"/>
    <w:uiPriority w:val="99"/>
    <w:semiHidden/>
    <w:unhideWhenUsed/>
    <w:rsid w:val="00317E81"/>
  </w:style>
  <w:style w:type="table" w:customStyle="1" w:styleId="50">
    <w:name w:val="Πλέγμα πίνακα5"/>
    <w:basedOn w:val="TableNormal"/>
    <w:next w:val="TableGrid"/>
    <w:uiPriority w:val="59"/>
    <w:rsid w:val="00317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Χωρίς λίστα8"/>
    <w:next w:val="NoList"/>
    <w:uiPriority w:val="99"/>
    <w:semiHidden/>
    <w:unhideWhenUsed/>
    <w:rsid w:val="00394035"/>
  </w:style>
  <w:style w:type="table" w:customStyle="1" w:styleId="60">
    <w:name w:val="Πλέγμα πίνακα6"/>
    <w:basedOn w:val="TableNormal"/>
    <w:next w:val="TableGrid"/>
    <w:uiPriority w:val="59"/>
    <w:rsid w:val="003940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Χωρίς λίστα9"/>
    <w:next w:val="NoList"/>
    <w:uiPriority w:val="99"/>
    <w:semiHidden/>
    <w:unhideWhenUsed/>
    <w:rsid w:val="00D848AC"/>
  </w:style>
  <w:style w:type="table" w:customStyle="1" w:styleId="70">
    <w:name w:val="Πλέγμα πίνακα7"/>
    <w:basedOn w:val="TableNormal"/>
    <w:next w:val="TableGrid"/>
    <w:uiPriority w:val="59"/>
    <w:rsid w:val="00D848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Χωρίς λίστα10"/>
    <w:next w:val="NoList"/>
    <w:uiPriority w:val="99"/>
    <w:semiHidden/>
    <w:unhideWhenUsed/>
    <w:rsid w:val="006044CF"/>
  </w:style>
  <w:style w:type="table" w:customStyle="1" w:styleId="80">
    <w:name w:val="Πλέγμα πίνακα8"/>
    <w:basedOn w:val="TableNormal"/>
    <w:next w:val="TableGrid"/>
    <w:uiPriority w:val="59"/>
    <w:rsid w:val="00604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Χωρίς λίστα11"/>
    <w:next w:val="NoList"/>
    <w:uiPriority w:val="99"/>
    <w:semiHidden/>
    <w:unhideWhenUsed/>
    <w:rsid w:val="00C95296"/>
  </w:style>
  <w:style w:type="character" w:styleId="Strong">
    <w:name w:val="Strong"/>
    <w:basedOn w:val="DefaultParagraphFont"/>
    <w:uiPriority w:val="22"/>
    <w:qFormat/>
    <w:rsid w:val="0017018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529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5296"/>
    <w:rPr>
      <w:rFonts w:ascii="Arial" w:eastAsia="Times New Roman" w:hAnsi="Arial" w:cs="Arial"/>
      <w:vanish/>
      <w:sz w:val="16"/>
      <w:szCs w:val="16"/>
      <w:lang w:eastAsia="el-GR"/>
    </w:rPr>
  </w:style>
  <w:style w:type="table" w:customStyle="1" w:styleId="90">
    <w:name w:val="Πλέγμα πίνακα9"/>
    <w:basedOn w:val="TableNormal"/>
    <w:next w:val="TableGrid"/>
    <w:uiPriority w:val="59"/>
    <w:rsid w:val="00C952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17018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7018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7018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7018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7018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018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edulll.g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teilar.gr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Διάμεσος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C551-1DC9-42FE-9BF2-DBD67CE9350B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813B02AB-374D-492E-9EB1-B2DE5DCB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1305</Words>
  <Characters>8066</Characters>
  <Application>Microsoft Office Word</Application>
  <DocSecurity>0</DocSecurity>
  <Lines>424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Βασικές Αρχές Λογιστικής</vt:lpstr>
      <vt:lpstr>Βασικές Αρχές Λογιστικής</vt:lpstr>
    </vt:vector>
  </TitlesOfParts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Βασικές Αρχές Λογιστικής</dc:title>
  <dc:creator>chris</dc:creator>
  <cp:lastModifiedBy>chris</cp:lastModifiedBy>
  <cp:revision>14</cp:revision>
  <dcterms:created xsi:type="dcterms:W3CDTF">2016-01-26T09:37:00Z</dcterms:created>
  <dcterms:modified xsi:type="dcterms:W3CDTF">2016-01-26T11:32:00Z</dcterms:modified>
</cp:coreProperties>
</file>