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03" w:rsidRPr="0095739D" w:rsidRDefault="005A5603" w:rsidP="005A5603">
      <w:pPr>
        <w:spacing w:after="1440"/>
        <w:rPr>
          <w:lang w:val="en-US"/>
        </w:rPr>
      </w:pPr>
      <w:bookmarkStart w:id="0" w:name="_Toc367100747"/>
      <w:bookmarkStart w:id="1" w:name="_Toc367101036"/>
      <w:bookmarkStart w:id="2" w:name="_Toc367101078"/>
      <w:bookmarkStart w:id="3" w:name="_Toc367132085"/>
      <w:bookmarkStart w:id="4" w:name="_GoBack"/>
      <w:bookmarkEnd w:id="4"/>
    </w:p>
    <w:p w:rsidR="005A5603" w:rsidRPr="00397133" w:rsidRDefault="002C58DD" w:rsidP="005A5603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  <w:lang w:eastAsia="el-GR"/>
        </w:rPr>
        <w:drawing>
          <wp:inline distT="0" distB="0" distL="0" distR="0">
            <wp:extent cx="4160520" cy="1437640"/>
            <wp:effectExtent l="0" t="0" r="0" b="0"/>
            <wp:docPr id="4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03" w:rsidRPr="00397133" w:rsidRDefault="005A5603" w:rsidP="005A5603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5A5603" w:rsidRPr="0095739D" w:rsidRDefault="005A5603" w:rsidP="005A5603">
      <w:pPr>
        <w:spacing w:after="720"/>
      </w:pPr>
    </w:p>
    <w:p w:rsidR="005A5603" w:rsidRDefault="005A5603" w:rsidP="005A5603">
      <w:pPr>
        <w:pStyle w:val="Heading1"/>
      </w:pPr>
      <w:r>
        <w:t>Φορολογική Λογιστική ΙΙ</w:t>
      </w:r>
    </w:p>
    <w:p w:rsidR="005A5603" w:rsidRPr="00AE1A34" w:rsidRDefault="005A5603" w:rsidP="005A5603"/>
    <w:p w:rsidR="005A5603" w:rsidRPr="002D7EB6" w:rsidRDefault="005A5603" w:rsidP="005A5603">
      <w:pPr>
        <w:rPr>
          <w:sz w:val="28"/>
        </w:rPr>
      </w:pPr>
      <w:r>
        <w:rPr>
          <w:b/>
          <w:sz w:val="28"/>
        </w:rPr>
        <w:t>Ενότητα 15</w:t>
      </w:r>
      <w:r w:rsidRPr="00092525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5A5603">
        <w:rPr>
          <w:b/>
          <w:sz w:val="28"/>
        </w:rPr>
        <w:t>Συσχετισμός σχεδίου λογαριασμών ΕΛΠ με ΕΓΛΣ</w:t>
      </w:r>
      <w:r>
        <w:rPr>
          <w:b/>
          <w:sz w:val="28"/>
        </w:rPr>
        <w:t>.</w:t>
      </w:r>
    </w:p>
    <w:p w:rsidR="005A5603" w:rsidRPr="00092525" w:rsidRDefault="005A5603" w:rsidP="005A5603">
      <w:pPr>
        <w:rPr>
          <w:sz w:val="28"/>
        </w:rPr>
      </w:pPr>
      <w:r w:rsidRPr="00092525">
        <w:rPr>
          <w:sz w:val="28"/>
        </w:rPr>
        <w:t xml:space="preserve">Διδάσκων: </w:t>
      </w:r>
      <w:r w:rsidRPr="00994E28">
        <w:rPr>
          <w:sz w:val="28"/>
        </w:rPr>
        <w:t>Παπαγεωργίου Γεώργιος</w:t>
      </w:r>
      <w:r w:rsidRPr="00092525">
        <w:rPr>
          <w:sz w:val="28"/>
        </w:rPr>
        <w:t xml:space="preserve">, </w:t>
      </w:r>
      <w:r>
        <w:rPr>
          <w:sz w:val="28"/>
        </w:rPr>
        <w:t>Έκτακτος</w:t>
      </w:r>
      <w:r w:rsidRPr="00092525">
        <w:rPr>
          <w:sz w:val="28"/>
        </w:rPr>
        <w:t xml:space="preserve"> Καθηγητής.</w:t>
      </w:r>
    </w:p>
    <w:p w:rsidR="005A5603" w:rsidRPr="00397133" w:rsidRDefault="005A5603" w:rsidP="005A5603">
      <w:pPr>
        <w:pBdr>
          <w:bottom w:val="single" w:sz="24" w:space="1" w:color="auto"/>
        </w:pBdr>
        <w:rPr>
          <w:sz w:val="20"/>
        </w:rPr>
      </w:pPr>
      <w:r w:rsidRPr="00994E28">
        <w:rPr>
          <w:sz w:val="28"/>
        </w:rPr>
        <w:t>Τμήμα Λογιστικής και Χρηματοοικονομικής</w:t>
      </w:r>
      <w:r>
        <w:rPr>
          <w:sz w:val="28"/>
        </w:rPr>
        <w:t xml:space="preserve"> ΤΕΙ Θεσσαλίας</w:t>
      </w:r>
    </w:p>
    <w:p w:rsidR="005A5603" w:rsidRPr="00381121" w:rsidRDefault="005A5603" w:rsidP="005A5603">
      <w:pPr>
        <w:rPr>
          <w:b/>
          <w:sz w:val="36"/>
          <w:lang w:val="en-US" w:bidi="en-US"/>
        </w:rPr>
      </w:pPr>
      <w:bookmarkStart w:id="5" w:name="_Toc367176340"/>
      <w:r w:rsidRPr="00397133">
        <w:rPr>
          <w:lang w:bidi="en-US"/>
        </w:rPr>
        <w:br w:type="page"/>
      </w:r>
      <w:bookmarkEnd w:id="5"/>
      <w:r w:rsidRPr="00381121">
        <w:rPr>
          <w:b/>
          <w:sz w:val="36"/>
          <w:lang w:bidi="en-US"/>
        </w:rPr>
        <w:lastRenderedPageBreak/>
        <w:t>Άδειες χρήσης</w:t>
      </w:r>
      <w:bookmarkEnd w:id="0"/>
      <w:bookmarkEnd w:id="1"/>
      <w:bookmarkEnd w:id="2"/>
      <w:bookmarkEnd w:id="3"/>
      <w:r w:rsidRPr="00381121">
        <w:rPr>
          <w:b/>
          <w:sz w:val="36"/>
          <w:lang w:val="en-US" w:bidi="en-US"/>
        </w:rPr>
        <w:t>.</w:t>
      </w:r>
    </w:p>
    <w:p w:rsidR="005A5603" w:rsidRPr="003A5298" w:rsidRDefault="005A5603" w:rsidP="005A5603">
      <w:pPr>
        <w:rPr>
          <w:lang w:val="en-US" w:bidi="en-US"/>
        </w:rPr>
      </w:pPr>
    </w:p>
    <w:p w:rsidR="005A5603" w:rsidRPr="00E653BE" w:rsidRDefault="005A5603" w:rsidP="005A5603">
      <w:pPr>
        <w:numPr>
          <w:ilvl w:val="0"/>
          <w:numId w:val="6"/>
        </w:numPr>
        <w:spacing w:after="200" w:line="276" w:lineRule="auto"/>
        <w:jc w:val="left"/>
        <w:rPr>
          <w:lang w:bidi="en-US"/>
        </w:rPr>
      </w:pPr>
      <w:r w:rsidRPr="003A5298">
        <w:rPr>
          <w:lang w:bidi="en-US"/>
        </w:rPr>
        <w:t xml:space="preserve">Το παρόν εκπαιδευτικό υλικό υπόκειται σε άδειες χρήσης </w:t>
      </w:r>
      <w:r w:rsidRPr="00381121">
        <w:rPr>
          <w:lang w:val="en-US" w:bidi="en-US"/>
        </w:rPr>
        <w:t>Creative</w:t>
      </w:r>
      <w:r>
        <w:rPr>
          <w:lang w:bidi="en-US"/>
        </w:rPr>
        <w:t xml:space="preserve"> </w:t>
      </w:r>
      <w:r w:rsidRPr="00381121">
        <w:rPr>
          <w:lang w:val="en-US" w:bidi="en-US"/>
        </w:rPr>
        <w:t>Commons</w:t>
      </w:r>
      <w:r w:rsidRPr="003A5298">
        <w:rPr>
          <w:lang w:bidi="en-US"/>
        </w:rPr>
        <w:t xml:space="preserve"> (C C).  </w:t>
      </w:r>
      <w:r w:rsidRPr="00B871A5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5A5603" w:rsidRPr="00F638E3" w:rsidRDefault="005A5603" w:rsidP="005A5603">
      <w:pPr>
        <w:numPr>
          <w:ilvl w:val="0"/>
          <w:numId w:val="6"/>
        </w:numPr>
        <w:spacing w:after="200" w:line="276" w:lineRule="auto"/>
        <w:jc w:val="left"/>
        <w:rPr>
          <w:lang w:bidi="en-US"/>
        </w:rPr>
      </w:pPr>
      <w:r w:rsidRPr="00E653BE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5A5603" w:rsidRPr="00F638E3" w:rsidRDefault="005A5603" w:rsidP="005A5603">
      <w:pPr>
        <w:rPr>
          <w:lang w:bidi="en-US"/>
        </w:rPr>
      </w:pPr>
    </w:p>
    <w:p w:rsidR="005A5603" w:rsidRPr="00E653BE" w:rsidRDefault="002C58DD" w:rsidP="005A5603">
      <w:pPr>
        <w:jc w:val="center"/>
        <w:rPr>
          <w:lang w:bidi="en-US"/>
        </w:rPr>
      </w:pPr>
      <w:r>
        <w:rPr>
          <w:noProof/>
          <w:lang w:eastAsia="el-GR"/>
        </w:rPr>
        <w:drawing>
          <wp:inline distT="0" distB="0" distL="0" distR="0">
            <wp:extent cx="1579880" cy="553720"/>
            <wp:effectExtent l="0" t="0" r="0" b="0"/>
            <wp:docPr id="3" name="Εικόνα 5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03" w:rsidRPr="0095739D" w:rsidRDefault="005A5603" w:rsidP="005A5603">
      <w:pPr>
        <w:spacing w:after="600"/>
        <w:rPr>
          <w:b/>
        </w:rPr>
      </w:pPr>
      <w:bookmarkStart w:id="6" w:name="_Toc367100748"/>
      <w:bookmarkStart w:id="7" w:name="_Toc367101037"/>
      <w:bookmarkStart w:id="8" w:name="_Toc367101079"/>
      <w:bookmarkStart w:id="9" w:name="_Toc367132086"/>
    </w:p>
    <w:p w:rsidR="005A5603" w:rsidRPr="00381121" w:rsidRDefault="005A5603" w:rsidP="005A5603">
      <w:pPr>
        <w:rPr>
          <w:b/>
          <w:sz w:val="36"/>
          <w:lang w:val="en-US"/>
        </w:rPr>
      </w:pPr>
      <w:r w:rsidRPr="00381121">
        <w:rPr>
          <w:b/>
          <w:sz w:val="36"/>
        </w:rPr>
        <w:t>Χρηματοδότηση</w:t>
      </w:r>
      <w:bookmarkEnd w:id="6"/>
      <w:bookmarkEnd w:id="7"/>
      <w:bookmarkEnd w:id="8"/>
      <w:bookmarkEnd w:id="9"/>
      <w:r w:rsidRPr="00381121">
        <w:rPr>
          <w:b/>
          <w:sz w:val="36"/>
          <w:lang w:val="en-US"/>
        </w:rPr>
        <w:t>.</w:t>
      </w:r>
    </w:p>
    <w:p w:rsidR="005A5603" w:rsidRPr="00361EE5" w:rsidRDefault="005A5603" w:rsidP="005A5603">
      <w:pPr>
        <w:rPr>
          <w:lang w:val="en-US"/>
        </w:rPr>
      </w:pPr>
    </w:p>
    <w:p w:rsidR="005A5603" w:rsidRPr="00361EE5" w:rsidRDefault="005A5603" w:rsidP="005A5603">
      <w:pPr>
        <w:numPr>
          <w:ilvl w:val="0"/>
          <w:numId w:val="7"/>
        </w:numPr>
        <w:spacing w:after="200" w:line="276" w:lineRule="auto"/>
        <w:jc w:val="left"/>
        <w:rPr>
          <w:lang w:bidi="en-US"/>
        </w:rPr>
      </w:pPr>
      <w:r w:rsidRPr="00361EE5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5A5603" w:rsidRPr="00361EE5" w:rsidRDefault="005A5603" w:rsidP="005A5603">
      <w:pPr>
        <w:numPr>
          <w:ilvl w:val="0"/>
          <w:numId w:val="7"/>
        </w:numPr>
        <w:spacing w:after="200" w:line="276" w:lineRule="auto"/>
        <w:jc w:val="left"/>
        <w:rPr>
          <w:lang w:bidi="en-US"/>
        </w:rPr>
      </w:pPr>
      <w:r w:rsidRPr="00361EE5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5A5603" w:rsidRPr="00782487" w:rsidRDefault="005A5603" w:rsidP="005A5603">
      <w:pPr>
        <w:rPr>
          <w:lang w:bidi="en-US"/>
        </w:rPr>
      </w:pPr>
    </w:p>
    <w:p w:rsidR="005A5603" w:rsidRDefault="002C58DD" w:rsidP="005A5603">
      <w:pPr>
        <w:rPr>
          <w:rFonts w:ascii="Arial" w:hAnsi="Arial"/>
          <w:noProof/>
          <w:lang w:val="en-US"/>
        </w:rPr>
      </w:pPr>
      <w:r>
        <w:rPr>
          <w:rFonts w:ascii="Arial" w:hAnsi="Arial"/>
          <w:noProof/>
          <w:lang w:eastAsia="el-GR"/>
        </w:rPr>
        <w:drawing>
          <wp:inline distT="0" distB="0" distL="0" distR="0">
            <wp:extent cx="5273040" cy="1254760"/>
            <wp:effectExtent l="0" t="0" r="0" b="0"/>
            <wp:docPr id="2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03" w:rsidRDefault="005A5603" w:rsidP="005A5603">
      <w:pPr>
        <w:spacing w:after="360"/>
      </w:pPr>
    </w:p>
    <w:p w:rsidR="005A5603" w:rsidRDefault="005A5603" w:rsidP="005A5603">
      <w:pPr>
        <w:spacing w:after="360"/>
      </w:pPr>
    </w:p>
    <w:p w:rsidR="005A5603" w:rsidRDefault="005A5603" w:rsidP="00755992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</w:pPr>
    </w:p>
    <w:p w:rsidR="005A5603" w:rsidRDefault="005A5603" w:rsidP="00755992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</w:pPr>
    </w:p>
    <w:p w:rsidR="00755992" w:rsidRPr="00F12C00" w:rsidRDefault="00755992" w:rsidP="00755992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</w:pPr>
      <w:r w:rsidRPr="00F12C0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el-GR"/>
        </w:rPr>
        <w:lastRenderedPageBreak/>
        <w:t>Συσχετισμός σχεδίου λογαριασμών ΕΛΠ με ΕΓΛΣ (Ν. 4308/2014)</w:t>
      </w:r>
    </w:p>
    <w:p w:rsidR="00755992" w:rsidRPr="00755992" w:rsidRDefault="00755992" w:rsidP="0075599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  <w:r w:rsidRPr="00755992">
        <w:rPr>
          <w:rFonts w:ascii="Times New Roman" w:eastAsia="Times New Roman" w:hAnsi="Times New Roman"/>
          <w:b/>
          <w:bCs/>
          <w:vanish/>
          <w:sz w:val="24"/>
          <w:szCs w:val="24"/>
          <w:lang w:eastAsia="el-GR"/>
        </w:rPr>
        <w:t>Συσχετισμός σχεδίου λογαριασμών ΕΛΠ με ΕΓΛΣ (Ν. 4308/2014)</w:t>
      </w:r>
    </w:p>
    <w:p w:rsidR="00755992" w:rsidRPr="00755992" w:rsidRDefault="00755992" w:rsidP="00755992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  <w:r w:rsidRPr="00755992">
        <w:rPr>
          <w:rFonts w:ascii="Times New Roman" w:eastAsia="Times New Roman" w:hAnsi="Times New Roman"/>
          <w:vanish/>
          <w:sz w:val="24"/>
          <w:szCs w:val="24"/>
          <w:lang w:eastAsia="el-GR"/>
        </w:rPr>
        <w:t>Οι κωδικοί και οι τίτλοι λογαριασμών του παρόντος νόμου (πρώτη και δεύτερη στήλη) αντιστοιχίζονται στο βαθμό που είναι εφικτό με τους κωδικούς των λογαριασμών του Ελληνικού Γενικού Λογιστικού Σχεδίου (δεύτερη στήλη).</w:t>
      </w:r>
    </w:p>
    <w:tbl>
      <w:tblPr>
        <w:tblW w:w="5619" w:type="pct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accessible"/>
      </w:tblPr>
      <w:tblGrid>
        <w:gridCol w:w="1986"/>
        <w:gridCol w:w="7371"/>
      </w:tblGrid>
      <w:tr w:rsidR="00755992" w:rsidRPr="00243850" w:rsidTr="002C58DD">
        <w:trPr>
          <w:trHeight w:val="315"/>
          <w:tblCellSpacing w:w="0" w:type="dxa"/>
        </w:trPr>
        <w:tc>
          <w:tcPr>
            <w:tcW w:w="9357" w:type="dxa"/>
            <w:gridSpan w:val="2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Ενσώματα και άυλα πάγια περιουσιακά στοιχεία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10.01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Μικτή αξία (κόστος ή αναπροσαρμοσμένη) γης:  10.00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10.02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Σωρευμένες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γης:  44.10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Διαμορφώσεις γης υποκείμενες σε απόσβεση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Μικτή αξία (κόστος ή αναπροσαρμοσμένη) διαμορφώσεων γης:  11.03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Σωρευμένες αποσβέσεις διαμορφώσεων γης:  11.99.03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Σωρευμένες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διαμορφώσεων γης:  44.10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Κτήρια - τεχνικά έργα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Μικτή αξία (κόστος ή αναπροσαρμοσμένη) κτηρίων – τεχνικών έργων:  11.00, 11.01, 11.03, 11.07, 11.08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Σωρευμένες αποσβέσεις κτηρίων – τεχνικών έργων:  11.99.00, 11.99.01, 11.99.03, 11.99.07, 11.99.08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Σωρευμένες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κτηρίων – τεχνικών έργων:  44.10.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Μηχανολογικός εξοπλισμός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Αξία κτήσης μηχανολογικού εξοπλισμού:  12.00, 12.01, 12.02, 12.03, 12.04, 12.05, 12.07, 12.08, 12.10, 12.11, 12.12, 12.13, 12.14, 12.15, 12.17, 12.18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Σωρευμένες αποσβέσεις μηχανολογικού εξοπλισμού:  12.99.00, 12.99.01, 12.99.02, 12.99.03, 12.99.04, 12.99.05, 12.99.07, 12.99.08, 12.99.10, 12.99.11, 12.99.12, 12.99.13, 12.99.14, 12.99.15, 12.99.17, 12.99.18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13.03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Σωρευμένες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μηχανολογικού εξοπλισμού:  44.10,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Μεταφορικά μέσα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14.01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Αξία κτήσης μεταφορικών μέσων:  13.00, 13.01, 13.02, 13.03, 13.04, 13.05, 13.06, 13.10, 13.11, 13.12, 13.13, 13.14, 13.15, 13.16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14.02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Σωρευμένες αποσβέσεις μεταφορικών μέσων:  13.99.00, 13.99.01, 13.99.02, 13.99.03, 13.99.04, 13.99.05, 13.99.06, 13.99.10, 13.99.11, 13.99.12, 13.99.13, 13.99.14, 13.99.15, 13.99.16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14.03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Σωρευμένες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μεταφορικών μέσων:  44.10 ,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Λοιπός εξοπλισμός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15.01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Αξία κτήσης εξοπλισμού:  14.00, 14.01, 14.02, 14.03, 14.04, 14.05, 14.08, 14.10, 14.11, 14.12, 14.13, 14.14, 14.15, 14.18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15.02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Σωρευμένες αποσβέσεις εξοπλισμού:  14.99.00, 14.99.01, 14.99.02, 14.99.03, 14.99.04, 14.99.05, 14.99.08, 14.99.10, 14.99.11, 14.99.12, 14.99.13, 14.99.14, 14.99.15, 14.99.18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15.03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Σωρευμένες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εξοπλισμού:  44.10,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Επενδύσεις σε ακίνητα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16.01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Μικτή αξία (κόστος ή αναπροσαρμοσμένη) επενδύσεων σε ακίνητα:  10.10, 11.14, 11.15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16.02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Σωρευμένες αποσβέσεις επενδύσεων σε ακίνητα:  11.99.14, 11.99.15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16.03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Σωρευμένες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επενδύσεων σε ακίνητα:  44.10,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Πάγια βιολογικά περιουσιακά στοιχεία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17.01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Ζώντα ζώα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lastRenderedPageBreak/>
              <w:t>17.01.01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Μικτή αξία (κόστος ή αναπροσαρμοσμένη) ζώντων ζώων:  14.06, 14.16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17.01.02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Σωρευμένες αποσβέσεις ζώντων ζώων:  14.99.06, 14.99.16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17.01.03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Σωρευμένες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ζώντων ζώων:  44.10,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17.02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Δένδρα και φυτά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17.02.01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Μικτή αξία (κόστος ή αναπροσαρμοσμένη) δένδρων και φυτών:  10.04, 10.05, 10.06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17.02.02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Σωρευμένες αποσβέσεις δένδρων και φυτών:  10.99.04, 10.99.05, 10.99.06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17.02.03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Σωρευμένες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δένδρων και φυτών:  44.10,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Άυλα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18.01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Δαπάνες ανάπτυξης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18.01.01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Αξία κτήσης δαπανών ανάπτυξης: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18.01.02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Σωρευμένες αποσβέσεις δαπανών ανάπτυξης: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18.01.03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Σωρευμένες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δαπανών ανάπτυξης: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18.02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Υπεραξία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18.02.01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Αξία κτήσης υπεραξίας:  16.00,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18.02.02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Σωρευμένες αποσβέσεις υπεραξίας:  16.99.00,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18.02.03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Σωρευμένες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υπεραξίας:  44.10,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18.03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Λοιπά άυλα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18.03.01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Αξία κτήσης λοιπών άυλων:  16.01, 16.02, 16.05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18.03.02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Σωρευμένες αποσβέσεις λοιπών άυλων:  16.99.01, 16.99.02, 16.99.05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18.03.03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Σωρευμένες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λοιπών άυλων:  44.10, </w:t>
            </w:r>
          </w:p>
        </w:tc>
      </w:tr>
      <w:tr w:rsidR="00755992" w:rsidRPr="00243850" w:rsidTr="002C58DD">
        <w:trPr>
          <w:trHeight w:val="103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Παρακολούθηση σε ξεχωριστό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υπολογαριασμό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του αντίστοιχου παγίου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:  15.01, 15.02, 15.0315.04</w:t>
            </w:r>
          </w:p>
        </w:tc>
      </w:tr>
      <w:tr w:rsidR="00755992" w:rsidRPr="00243850" w:rsidTr="002C58DD">
        <w:trPr>
          <w:trHeight w:val="6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Σημείωση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Ανάλυση παγίων παρέχεται στο σχετικό μητρώο, το οποίο έχει όλη την λεπτομερή πληροφόρηση για κάθε επιμέρους πάγιο (αξία κτήσης, ημερομηνία κτήσης, επιχορήγηση, προσθήκες, βελτιώσεις, αποσβέσεις,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απομειώσεις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, κέντρο κόστους, κλπ.), ώστε να παρέχεται η δυνατότητα ομαδοποίησης σχετικών πληροφοριών με διάφορους τρόπους και σε διάφορα επίπεδα.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Εμπορεύματα:  20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20.01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Εμπορεύματα έναρξης:  20.00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20.02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Αγορές εμπορευμάτων χρήσης:  20.01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20.03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αγορών εμπορευμάτων:  20.98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20.04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αγορών εμπορευμάτων: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20.05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εμπορευμάτων: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20.06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Εμπορεύματα λήξης:  20.00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Προϊόντα:  21, 22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Προϊόντα έναρξης:  21.00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Παραγωγή χρήσης: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προϊόντων: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21.04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Προϊόντα λήξης:  21.00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lastRenderedPageBreak/>
              <w:t>22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Βιολογικά περιουσιακά στοιχεία (κυκλοφορούντα)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Ζώντα ζώα:  14.06, 14.16, 14.99.06, 14.99.16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Ζώντα ζώα έναρξης: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Αγορές ζώντων ζώων: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αγορών ζώντων ζώων: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22.01.04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αγορών ζώντων ζώων: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22.01.05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ζώντων ζώων: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22.01.06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Διαφορές επιμέτρησης εύλογης αξίας ζώντων ζώων: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22.01.07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Ζώντα ζώα λήξης:  Δεν υπάρχει ,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Δένδρα και φυτά:  10.00, 10.05, 10.06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Δένδρα και φυτά έναρξης: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Αγορές δένδρων και φυτών: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αγορών δένδρων και φυτών: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22.02.04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αγορών δένδρων και φυτών: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22.02.05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δένδρων και φυτών: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22.02.06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Διαφορές επιμέτρησης εύλογης αξίας δένδρων και φυτών: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22.02.07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Δένδρα και φυτά λήξης: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Παραγωγή σε εξέλιξη :  23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Παραγωγή σε εξέλιξη έναρξης:  23.00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Παραγωγή σε εξέλιξη λήξης:  23.00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Πρώτες ύλες και υλικά:  24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24.01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Πρώτες ύλες και υλικά έναρξης:  24.00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24.02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Αγορές πρώτων υλών και υλικών χρήσης:  24.01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24.03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αγορών πρώτων υλών και υλικών:  24.98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24.04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αγορών πρώτων υλών και υλικών: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24.05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πρώτων υλών και υλικών: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24.06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Αποθέματα λήξης πρώτων υλών και υλικών:  24.00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Υλικά συσκευασίας:  28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25.01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Υλικά συσκευασίας έναρξης:  28.00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25.02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Αγορές υλικών συσκευασίας:  28.01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25.03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αγορών υλικών συσκευασίας:  28.98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25.04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αγορών υλικών συσκευασίας: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25.05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υλικών συσκευασίας: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25.06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Υλικά συσκευασίας λήξης:  28.00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Ανταλλακτικά παγίων:  26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26.01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Ανταλλακτικά παγίων έναρξης:  26.00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26.02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Αγορές ανταλλακτικών παγίων:  26.01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26.03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αγορών ανταλλακτικών παγίων:  26.98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26.04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αγορών ανταλλακτικών παγίων: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26.05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ανταλλακτικών: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26.06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Ανταλλακτικά παγίων λήξης:  26.00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lastRenderedPageBreak/>
              <w:t>27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Λοιπά αποθέματα:  25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27.01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Λοιπά αποθέματα έναρξης:  25.00, 25.01, 25.02, 25.03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27.02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Λοιπά αποθέματα λήξης:  25.00, 25.01, 25.02, 25.03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Πελάτες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30.01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Πελάτες – μη συνδεδεμένες οντότητες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30.01.01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Πελάτες μη συνδεδεμένες οντότητες – ονομαστικό ποσό:  30.00, 30.01, 30.02, 30.03, 30.04, 30.97, 30.98, 30.99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30.01.02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Μη δουλευμένοι τόκοι μη συνδεδεμένων πελατών: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30.01.03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Προκαταβολές μη συνδεδεμένων πελατών:  30.05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30.01.04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μη συνδεδεμένων πελατών:  44.11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30.02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Πελάτες –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συνεδεμένες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οντότητες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30.02.01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Συνδεδεμένοι πελάτες – ονομαστικό ποσό:  30.00, 30.01, 30.02, 30.03, 30.04, 30.97, 30.99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30.02.02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Μη δουλευμένοι τόκοι συνδεδεμένων πελατών: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30.02.03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Προκαταβολές συνδεδεμένων πελατών:  30.05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30.02.04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συνδεδεμένων πελατών:  44.11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Αξιόγραφα εμπορικών απαιτήσεων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Αξιόγραφα εμπορικών απαιτήσεων – μη συνδεδεμένες οντότητες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31.01.01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Αξιόγραφα εμπορικών απαιτήσεων μη συνδεδεμένων οντοτήτων – ονομαστικό ποσό:  31.00, 31.01, 31.02, 31.03, 31.07, 31.08, 31.09, 31.10, 33.90, 33.91, 18.07, 18.08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31.01.02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Μη δουλευμένοι τόκοι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αξιογράφων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εμπορικών απαιτήσεων μη συνδεδεμένων οντοτήτων:  31.13, 18.09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31.01.03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αξιογράφων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εμπορικών απαιτήσεων μη συνδεδεμένων οντοτήτων:  44.11,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Αξιόγραφα εμπορικών απαιτήσεων – συνδεδεμένες οντότητες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31.02.01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Αξιόγραφα εμπορικών απαιτήσεων συνδεδεμένων οντοτήτων – ονομαστικό ποσό:  31.00, 31.01, 31.02, 31.03, 31.07, 31.08, 31.09, 31.10, 33.90, 33.91, 18.07, 18.08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31.02.02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Μη δουλευμένοι τόκοι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αξιογράφων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εμπορικών απαιτήσεων συνδεδεμένων οντοτήτων:  31.13, 18.09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31.02.03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αξιογράφων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εμπορικών απαιτήσεων συνδεδεμένων οντοτήτων:  44.11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Χορηγηθέντα δάνεια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Δάνεια χορηγηθέντα σε συνδεδεμένες οντότητες:  18.02, 18.03, 18.04, 18.05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Δάνεια χορηγηθέντα στο προσωπικό και στη διοίκηση:  18.06, 33.01, 33.02, 33.07, 33.08, 33.09, 33.10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Λοιπά χορηγηθέντα δάνεια:  18.13, 18.14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32.04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χορηγηθέντων δανείων:  44.11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Λοιπές απαιτήσεις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Έσοδα από πάσης φύσεως συμμετοχές εισπρακτέα:  36.01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33.01.01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Έσοδα από πάσης φύσεως συμμετοχές εισπρακτέα - ονομαστικό ποσό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33.01.02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- έσοδα από πάσης φύσεως συμμετοχές εισπρακτέα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lastRenderedPageBreak/>
              <w:t>33.02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Άλλες απαιτήσεις από συνδεδεμένες οντότητες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33.02.01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Άλλες απαιτήσεις από συνδεδεμένες οντότητες - ονομαστικό ποσό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33.02.02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- άλλες απαιτήσεις από συνδεδεμένες οντότητες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33.03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Άλλες απαιτήσεις από μη συνδεδεμένες οντότητες:  18.11, 33.13 , 33.14, 33.17, 33.18, 33.19, 33.20, 33.21, 33.97, 33.98, 33.99 ΔΙΕΓΡΑΨΑ ΤΟΝ 18.12 ΟΦ. ΚΕΦΑΛΑΙΟ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33.03.01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Άλλες απαιτήσεις από μη συνδεδεμένες οντότητες - ονομαστικό ποσό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33.03.02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- άλλες απαιτήσεις από μη συνδεδεμένες οντότητες:  44.11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Επενδύσεις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34.01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Διακρατούμενες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έως τη λήξη επενδύσεις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34.01.01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Διακρατούμενες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έως τη λήξη επενδύσεις – ονομαστική αξία:  18.15, 18.16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34.01.02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Διακρατούμενες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έως τη λήξη επενδύσεις – συμπληρωματικά ποσά:  18.15, 18.16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34.01.03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διακρατούμενων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έως τη λήξη επενδύσεων:  44.11,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34.02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Διαθέσιμα για πώληση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34.02.01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Διαθέσιμα για πώληση:  18.01, 18.15, 18.16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34.02.02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διαθέσιμων για πώληση:  18.01.19, 44.11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34.03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Εμπορικό χαρτοφυλάκιο:  34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Χρηματοοικονομικά στοιχεία για αντιστάθμιση: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35.01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Χρηματοοικονομικά στοιχεία για αντιστάθμιση εύλογης αξίας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35.02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Χρηματοοικονομικά στοιχεία για αντιστάθμιση ταμειακών ροών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Συμμετοχές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36.01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Συμμετοχές σε θυγατρικές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36.01.01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Συμμετοχές σε θυγατρικές:  18.00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36.01.02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συμμετοχών σε θυγατρικές:  18.00.19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36.02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Συμμετοχές σε συγγενείς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36.02.01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Συμμετοχές σε συγγενείς:  18.00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36.02.02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συμμετοχών σε συγγενείς:  18.00.19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36.03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Συμμετοχές σε κοινοπραξίες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36.03.01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Συμμετοχές σε κοινοπραξίες:  18.00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36.03.02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συμμετοχών σε κοινοπραξίες:  18.00.19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Προπληρωμένα έξοδα και δουλευμένα έσοδα περιόδου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37.01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Προπληρωμένα έξοδα:  36.00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37.01.01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Προπληρωμένα έξοδα σε μη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37.01.02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Προπληρωμένα έξοδα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37.02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Δουλευμένα έσοδα περιόδου:  36.01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37.02.01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Δουλευμένα έσοδα περιόδου από μη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37.02.02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Δουλευμένα έσοδα περιόδου από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Ταμειακά διαθέσιμα και ισοδύναμα:  38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38.01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Ταμείο:  38.00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38.02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Καταθέσεις όψεως:  38.03, 38.05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38.03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Καταθέσεις προθεσμίας:  38.04, 38.06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lastRenderedPageBreak/>
              <w:t>38.04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Λοιπά ταμειακά ισοδύναμα:  38.02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Αναβαλλόμενοι φόροι ενεργητικού: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Κεφάλαιο:  40.00, 40.01, 40.02, 40.03, 40.04, 40.05, 40.06, 40.07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Υπέρ το άρτιο:  41.00, 41.01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Καταθέσεις ιδιοκτητών:  43.00, 43.01, 43.02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Ίδιοι τίτλοι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43.01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Αξία κτήσης ίδιων τίτλων:  34.25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43.02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Αποτέλεσμα (κέρδος/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ζημί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α) από τη διάθεση ίδιων τίτλων:  64.12.02, 76.04.02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Διαφορές εύλογης αξίας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44.01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Διαφορές εύλογης αξίας ενσώματων παγίων:  41.07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44.02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Διαφορές εύλογης αξίας διαθέσιμων για πώληση:  41.06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44.03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Διαφορές εύλογης αξίας στοιχείων αντιστάθμισης ταμειακών ροών: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Συναλλαγματικές διαφορές: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Αποθεματικά νόμων και καταστατικού:  41.02, 41.03, 41.04, 41.05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Αφορολόγητα αποθεματικά:  41.08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Αποτελέσματα εις νέο:  42.00, 42.01, 42.02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Προμηθευτές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50.01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Προμηθευτές – μη συνδεδεμένες οντότητες:  50.00, 50.01, 50.02, 50.03, 50.04, 53.08, 50.08πάγια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50.02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Προμηθευτές – συνδεδεμένες οντότητες:  50.00, 50.01, 50.02, 50.03, 50.04, 53.08, 50.08πάγια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50.03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Προκαταβολές σε προμηθευτές – μη συνδεδεμένες οντότητες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50.03.01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Προκαταβολές σε προμηθευτές για μη κυκλοφορούντα στοιχεία – μη συνδεδεμένες οντότητες:  15.09, 32.00, 50.08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50.03.02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Προκαταβολές σε προμηθευτές για αποθέματα – μη συνδεδεμένες οντότητες:  50.05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50.03.03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Λοιπές προκαταβολές σε προμηθευτές – μη συνδεδεμένες οντότητες:  50.05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50.04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Προκαταβολές σε προμηθευτές – συνδεδεμένες οντότητες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50.04.01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Προκαταβολές σε προμηθευτές για μη κυκλοφορούντα στοιχεία – συνδεδεμένες οντότητες:  15.09, 32.00, 50.08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50.04.02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Προκαταβολές σε προμηθευτές για αποθέματα – συνδεδεμένες οντότητες:  50.05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50.04.03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Λοιπές προκαταβολές σε προμηθευτές – συνδεδεμένες οντότητες:  50.05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Αξιόγραφα εμπορικών υποχρεώσεων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Αξιόγραφα εμπορικών υποχρεώσεων – μη συνδεδεμένες οντότητες:  51, 45.19, 45.20, 45.21, 53.90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Αξιόγραφα εμπορικών υποχρεώσεων – συνδεδεμένες οντότητες:  51, 45.19, 45.20, 45.21, 53.90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Τραπεζικά δάνεια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Τραπεζικά δάνεια – μη συνδεδεμένες οντότητες:  45.00, 45.01, 45.02, 45.03, 45.10, 45.11, 45.12, 45.13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Τραπεζικά δάνεια – συνδεδεμένες οντότητες:  45.00, 45.01, 45.02, 45.03, 45.10, 45.11, 45.12, 45.13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lastRenderedPageBreak/>
              <w:t>53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Λοιπές υποχρεώσεις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Δάνεια από συνδεδεμένες οντότητες: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Λοιπά δάνεια: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53.03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Αποδοχές προσωπικού πληρωτέες:  53.00, 53.03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53.04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Υποχρεώσεις προς ιδιοκτήτες και Διευθυντικό Προσωπικό :  53.14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53.05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Μερίσματα, προμερίσματα και άλλα ποσά συναφούς φύσης πληρωτέα:  53.01, 53.02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53.06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Άλλες υποχρεώσεις:  53.04, 53.05, 53.06, 53.07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53.07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Άλλες υποχρεώσεις προς συνδεδεμένες οντότητες :  53.10, 53.11, 53.12, 53.13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Υποχρεώσεις από φόρους και τέλη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Φόρος εισοδήματος πληρωτέος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Φόρος εισοδήματος ετήσιας δήλωσης:  54.07, 54.08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Παρακρατούμενος φόρος εισοδήματος της οντότητας (αντίθετος):  33.13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Προκαταβολή φόρου εισοδήματος (αντίθετος):  33.13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Φόρος προστιθέμενης αξίας (ΦΠΑ)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ΦΠΑ εκροών:  54.00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ΦΠΑ εισροών:  54.00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Καταβληθείς ΦΠΑ:  54.00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Παρακρατούμενοι φόροι εισοδήματος τρίτων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Παρακρατούμενος φόρος από μισθωτή εργασία και συντάξεις:  54.03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Παρακρατούμενος φόρος από επιχειρηματική δραστηριότητα:  54.04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54.03.03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Παρακρατούμενος φόρος διανεμομένων μερισμάτων:  54.09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54.03.04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Λοιποί παρακρατούμενοι φόροι εισοδήματος:  54.09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Τέλη χαρτοσήμου:  54.09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54.05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Λοιποί φόροι, τέλη και εισφορές:  54.05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Υποχρεώσεις σε ασφαλιστικούς οργανισμούς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55.01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Υποχρεώσεις σε ασφαλιστικούς οργανισμούς κύριας ασφάλισης:  55.00, 55.01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55.02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Υποχρεώσεις σε ασφαλιστικούς οργανισμούς επικουρικής ασφάλισης:  55.02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Δουλευμένα έξοδα και έσοδα επομένων χρήσεων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56.01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Έξοδα χρήσεως δουλευμένα:  56.01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56.01.01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Έξοδα χρήσεως δουλευμένα – μη συνδεδεμένες οντότητες: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56.01.02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Έξοδα χρήσεως δουλευμένα – συνδεδεμένες οντότητες: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56.02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Έσοδα επόμενων χρήσεων:  56.00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56.02.01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Έσοδα επόμενων χρήσεων – μη συνδεδεμένες οντότητες: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56.02.02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Έσοδα επόμενων χρήσεων – συνδεδεμένες οντότητες: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Προβλέψεις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57.01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παροχές σε εργαζομένους:  44.00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57.02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Λοιπές προβλέψεις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57.02.01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εκκρεμοδικίες:  44.09, 44.12, 44.13, 83.12, 83.13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lastRenderedPageBreak/>
              <w:t>57.02.02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δοσμένες εγγυήσεις:  44.09, 44.12, 44.13, 83.12, 83.13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57.02.03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αποκατάσταση περιβάλλοντος:  44.09, 44.12, 44.13, 83.12, 83.13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57.02.04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διαφορές φορολογικού ελέγχου: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57.02.05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Άλλες προβλέψεις:  44.09, 44.12, 44.13, , , 83.13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57.03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συνδεδεμένες οντότητες: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Κρατικές επιχορηγήσεις:  41.10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Αναβαλλόμενοι φόροι παθητικού: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Παροχές σε εργαζόμενους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60.01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Μικτές αποδοχές:  60.00, 60.01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60.02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Εργοδοτικές εισφορές:  60.03, 60.04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60.03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Λοιπές παροχές:  60.02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60.04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παροχές μετά την έξοδο από την υπηρεσία (καθαρό):  68.00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60.05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Παροχές σε εργαζόμενους συνδεδεμένων οντοτήτων 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Ζημιές επιμέτρησης περιουσιακών στοιχείων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ενσώματων παγίων (πλην βιολογικών):  83.10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βιολογικών περιουσιακών στοιχείων:  83.10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άυλων παγίων:  83.10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αποθεμάτων: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χρηματοοικονομιικών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στοιχείων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61.05.01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πελατών:  83.11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61.05.02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αξιογράφων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εμπορικών απαιτήσεων:  68.11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61.05.03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διακρατούμενων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μέχρι τη λήξη επενδύσεων:  68.11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61.05.04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συμμετοχών σε θυγατρικές:  68.11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61.05.05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συμμετοχών σε συγγενείς:  68.11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61.05.06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συμμετοχών σε κοινοπραξίες:  68.11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λοιπών περιουσιακών στοιχείων:  68.09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Ζημίες από επιμέτρηση στην εύλογη αξία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61.07.01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Ζημιές εύλογης αξίας ενσώματων πάγιων στοιχείων:  64.11εν μέρει μόνο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61.07.02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Ζημιές εύλογης αξίας βιολογικών περιουσιακών στοιχείων:  64.12εν μέρει μόνο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61.07.03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Ζημιές εύλογης αξίας χρηματοοικονομικών στοιχείων:  64.13εν μέρει μόνο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Χρεωστικές συναλλαγματικές διαφορές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Χρεωστικές συναλλαγματικές διαφορές από διακανονισμό:  81.00.04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62.01.01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Χρεωστικές συν/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τικές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διαφορές διακανονισμού εμπορικών απαιτήσεων και υποχρεώσεων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62.01.02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Χρεωστικές συν/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τικές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διαφορές διακανονισμού δανείων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62.01.03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Χρεωστικές συν/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τικές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διαφορές διακανονισμού λοιπών στοιχείων ισολογισμού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Χρεωστικές συναλλαγματικές διαφορές επιμέτρησης:  81.00.04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62.02.01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Χρεωστικές συν/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τικές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διαφορές επιμέτρησης εμπορικών απαιτήσεων και υποχρεώσεων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62.02.02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Χρεωστικές συν/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τικές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διαφορές επιμέτρησης δανείων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lastRenderedPageBreak/>
              <w:t>62.02.03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Χρεωστικές συν/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τικές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διαφορές επιμέτρησης λοιπών στοιχείων ισολογισμού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63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Ζημιές από διάθεση-απόσυρση μη κυκλοφορούντων περιουσιακών στοιχείων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Ζημιές από διάθεση-απόσυρση ενσώματων παγίων:  81.02.00, 81.02.01, 81.02.02, 81.02.03, 81.02.04, 81.02.05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Ζημιές από διάθεση-απόσυρση άυλων πάγιων στοιχείων:  81.02.00, 81.02.01, 81.02.02, 81.02.03, 81.02.04, 81.02.05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63.03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Ζημιές από διάθεση χρηματοοικονομικών στοιχείων:  64.12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63.04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Ζημίες από διάθεση - απόσυρση περιουσιακών στοιχείων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Διάφορα λειτουργικά έξοδα: 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Αμοιβές για υπηρεσίες:  62.06, 64.01, 64.03, 64.05, 64.09, 61.00, 61.01, 61.02, 61.03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Αμοιβές για υπηρεσίες – μη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Αμοιβές για υπηρεσίες –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Ενέργεια:  62.00, 62.01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Ύδρευση:  62.02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Τηλεπικοινωνίες:  62.03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Ενοίκια:  62.04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64.05.01 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Ενοίκια – μη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64.05.02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Ενοίκια –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Ασφάλιστρα:  62.05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Μεταφορικά:  64.00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64.08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Αναλώσιμα:  64.07, 64.08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64.09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Επισκευές και συντηρήσεις:  62.07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64.10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Διαφήμιση και προβολή:  64.02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64.11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Φόροι και τέλη (πλην φόρου εισοδήματος):  63.02, 63.03, 63.04, 63.05, 63.06, 63.98, 88.09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64.12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Λοιπά έξοδα:  81.00, 82.00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64.13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Διάφορα λειτουργικά έξοδα από συνδεδεμένες  οντότητες 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65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Χρεωστικοί τόκοι και συναφή έξοδα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65.01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Τόκοι τραπεζικών δανείων:  65.01.00, 65.01.01, 65.01.02, 65.01.03, 65.02, 65.03, 65.04, 65.05, 65.07, 65.08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65.02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Τόκοι δανείων από συνδεδεμένες οντότητες:  65.01.04, 65.01.05, 65.01.06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65.03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Τόκοι λοιπών δανείων:  65.00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65.04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Τόκοι λοιπών υποχρεώσεων και προβλέψεων:  65.01.07, 65.01.08, 65.01.09, 65.01.10, 65.06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65.05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Λοιπά χρηματοοικονομικά έξοδα:  65.10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66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Αποσβέσεις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66.01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Αποσβέσεις διαμορφώσεων γης:  66.01.03, 66.01.24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66.02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Αποσβέσεις κτηρίων - τεχνικών έργων:  66.01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66.03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Αποσβέσεις μηχανολογικού εξοπλισμού:  66.02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66.04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Αποσβέσεις μεταφορικών μέσων:  66.03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lastRenderedPageBreak/>
              <w:t>66.05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Αποσβέσεις λοιπού εξοπλισμού:  66.04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66.06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Αποσβέσεις επενδύσεων σε ακίνητα:  66.01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66.07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Αποσβέσεις πάγιων βιολογικών περιουσιακών στοιχείων:  66.04.16, 66.00.05, 66.00.06, 66.00.15, 66.00.16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66.08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Αποσβέσεις άυλων παγίων66.05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Ασυνήθη έξοδα και ζημιές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67.01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Ζημιές φυσικών καταστροφών:  81.02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67.02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Ζημιές άλλων καταστροφών:  81.02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67.03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Άλλα ασυνήθη έξοδα και ζημίες:  81.00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67.04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Πρόστιμα, προσαυξήσεις και ποινές:  81.00, 82.00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67.05 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Ασυνήθη έξοδα και ζημιές από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68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Προβλέψεις (εκτός από προβλέψεις για το προσωπικό)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68.01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εκκρεμοδικίες:  68.09, 83.12, 83.13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68.02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δοσμένες εγγυήσεις:  68.09, 83.12, 83.13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68.03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αποκατάσταση περιβάλλοντος:  68.09, 83.12, 83.13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68.04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διαφορές φορολογικού ελέγχου πλην φόρου εισοδήματος:  68.09, 83.12, 83.13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68.05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Άλλες προβλέψεις:  68.09, 83.12, 83.13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68.06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69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Φόρος εισοδήματος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69.01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Τρέχων φόρος (έξοδο) περιόδου:  63.00, 88.06, 88.08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69.02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Αναβαλλόμενος φόρος (έξοδο) περιόδου: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69.03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Προβλέψεις για διαφορές φορολογικού ελέγχου φόρου εισοδήματος: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Πωλήσεις αγαθών και υπηρεσιών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εμπορευμάτων (καθαρές) σε μη συνδεδεμένες οντότητες:  70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εμπορευμάτων (ονομαστικές) σε μη συνδεδεμένες οντότητες:  70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πωλήσεων εμπορευμάτων σε μη συνδεδεμένες οντότητες:  70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πωλήσεων εμπορευμάτων σε μη συνδεδεμένες οντότητες:  70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εμπορευμάτων (καθαρές)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εμπορευμάτων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πωλήσεων εμπορευμάτων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πωλήσεων εμπορευμάτων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προϊόντων έτοιμων και ημιτελών (καθαρές) σε μη συνδεδεμένες οντότητες:  71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προϊόντων έτοιμων και ημιτελών σε μη συνδεδεμένες οντότητες:  71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πωλήσεων προϊόντων έτοιμων και ημιτελών σε μη συνδεδεμένες οντότητες:  71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70.03.03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πωλήσεων προϊόντων έτοιμων και ημιτελών σε μη συνδεδεμένες οντότητες:  71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lastRenderedPageBreak/>
              <w:t>70.04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προϊόντων έτοιμων και ημιτελών (καθαρές)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70.04.01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προϊόντων έτοιμων και ημιτελών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70.04.02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πωλήσεων προϊόντων έτοιμων και ημιτελών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70.04.03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πωλήσεων προϊόντων έτοιμων και ημιτελών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λοιπών αποθεμάτων (καθαρές) σε μη συνδεδεμένες οντότητες:  72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70.05.01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λοιπών αποθεμάτων σε μη συνδεδεμένες οντότητες:  72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70.05.02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πωλήσεων λοιπών αποθεμάτων σε μη συνδεδεμένες οντότητες:  72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70.05.03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πωλήσεων λοιπών αποθεμάτων σε μη συνδεδεμένες οντότητες:  72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λοιπών αποθεμάτων (καθαρές)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70.06.01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λοιπών αποθεμάτων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70.06.02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πωλήσεων λοιπών αποθεμάτων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70.06.03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πωλήσεων λοιπών αποθεμάτων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υπηρεσιών (καθαρές) σε μη συνδεδεμένες οντότητες:  73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70.07.01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υπηρεσιών σε μη συνδεδεμένες οντότητες:  73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70.07.02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πωλήσεων υπηρεσιών σε μη συνδεδεμένες οντότητες:  73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70.07.03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πωλήσεων υπηρεσιών σε μη συνδεδεμένες οντότητες:  73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70.08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υπηρεσιών (καθαρές)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70.08.01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Πωλήσεις υπηρεσιών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70.08.02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Επιστροφές πωλήσεων υπηρεσιών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70.08.03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Εκπτώσεις πωλήσεων υπηρεσιών σε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71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Λοιπά συνήθη έσοδα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Αποσβέσεις επιχορηγήσεων παγίων στοιχείων:  81.01.05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Επιχορηγήσεις τόκων:  74.05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Επιχορηγήσεις λοιπών εξόδων:  74.03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71.04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Άλλα λειτουργικά έσοδα:  74.00, 74.01, 74.02, 75.00, 75.01, 75.02, 75.03, 75.04, 75.05, 75.06, 75.07, 75.08, 75.10, 81.01, 81.03, 82.01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71.05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Άλλα λειτουργικά έσοδα από συνδεδεμένες οντότητες 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72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Πιστωτικοί τόκοι και συναφή έσοδα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Πιστωτικοί τόκοι πωλήσεων:  76.03.04, 76.03.05, 76.03.06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Πιστωτικοί τόκοι δανείων και απαιτήσεων:  76.03.03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Πιστωτικοί τόκοι άλλων επενδύσεων:  76.03.00, 76.03.01, 76.03.02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72.04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Πιστωτικοί τόκοι και συναφή έσοδα από συνδεδεμένες οντότητες: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73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Πιστωτικές συναλλαγματικές διαφορές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lastRenderedPageBreak/>
              <w:t>73.01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Πιστωτικές συναλλαγματικές διαφορές από διακανονισμό:  81.01.04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73.01.01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Πιστωτικές συν/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τικές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διαφορές διακανονισμού εμπορικών απαιτήσεων και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υποχρ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σεων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:  81.01.04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73.01.02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Πιστωτικές συν/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τικές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διαφορές διακανονισμού δανείων:  81.01.04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73.01.03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Πιστωτικές συν/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τικές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διαφορές διακανονισμού λοιπών στοιχείων ισολογισμού:  81.01.04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73.02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Πιστωτικές συναλλαγματικές διαφορές επιμέτρησης:  81.01.04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73.02.01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Πιστωτικές συν/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τικές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διαφορές επιμέτρησης εμπορικών απαιτήσεων και υποχρεώσεων:  81.01.04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73.02.02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Πιστωτικές συν/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τικές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διαφορές επιμέτρησης δανείων:  81.01.04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73.02.03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Πιστωτικές συν/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τικές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διαφορές επιμέτρησης λοιπών στοιχείων ισολογισμού:  81.01.04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74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Έσοδα συμμετοχών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74.01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Μερίσματα από συμμετοχές σε συγγενείς:  76.01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74.02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Μερίσματα από συμμετοχές σε θυγατρικές:  76.01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74.03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Μερίσματα από συμμετοχές σε κοινοπραξίες:  76.01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74.04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Μερίσματα από λοιπούς συμμετοχικούς τίτλους:  76.01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75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Κέρδη από διάθεση μη κυκλοφορούντων περιουσιακών στοιχείων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75.01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από διάθεση ενσώματων παγίων:  81.03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75.02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από διάθεση άυλων πάγιων στοιχείων:  81.03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75.03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από διάθεση χρηματοοικονομικών στοιχείων:  76.04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75.04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από διάθεση μη κυκλοφορούντων περιουσιακών στοιχείων σε συνδεδεμένες οντότητες 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76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 xml:space="preserve">Κέρδη από αναστροφή προβλέψεων και </w:t>
            </w:r>
            <w:proofErr w:type="spellStart"/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απομειώσεων</w:t>
            </w:r>
            <w:proofErr w:type="spellEnd"/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από αναστροφή προβλέψεων για εκκρεμοδικίες:  84.00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από αναστροφή προβλέψεων για δοσμένες εγγυήσεις:  84.00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από αναστροφή προβλέψεων για αποκατάσταση περιβάλλοντος:  84.00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από αναστροφή προβλέψεων για διαφορές φορολογικού ελέγχου πλην φόρου εισοδήματος: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από αναστροφή άλλων προβλέψεων:  84.00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Κέρδη από αναστροφή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ενσώματων παγίων (πλην βιολογικών):  84.00.10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76.07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Κέρδη από αναστροφή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βιολογικών περιουσιακών στοιχείων:  84.00.10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76.08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Κέρδη από αναστροφή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άυλων παγίων:  84.00.10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76.09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Κέρδη από αναστροφή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αποθεμάτων: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76.10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Κέρδη από αναστροφή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χρηματοοικονομιικών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στοιχείων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76.10.01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Κέρδη από αναστροφή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πελατών:  84.00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76.10.02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Κέρδη από αναστροφή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αξιογράφων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εμπορικών απαιτήσεων:  84.00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76.10.03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Κέρδη από αναστροφή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διακρατούμενων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μέχρι τη λήξη επενδύσεων:  84.00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76.10.04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Κέρδη από αναστροφή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συμμετοχών σε θυγατρικές:  84.00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lastRenderedPageBreak/>
              <w:t>76.10.05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Κέρδη από αναστροφή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συμμετοχών σε συγγενείς:  84.00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380EFB" w:rsidRDefault="00755992" w:rsidP="00755992">
            <w:pPr>
              <w:spacing w:line="240" w:lineRule="auto"/>
              <w:jc w:val="left"/>
              <w:rPr>
                <w:rFonts w:ascii="Modern No. 20" w:eastAsia="Times New Roman" w:hAnsi="Modern No. 20"/>
                <w:sz w:val="24"/>
                <w:szCs w:val="24"/>
                <w:lang w:eastAsia="el-GR"/>
              </w:rPr>
            </w:pPr>
            <w:r w:rsidRPr="00380EFB">
              <w:rPr>
                <w:rFonts w:ascii="Modern No. 20" w:eastAsia="Times New Roman" w:hAnsi="Modern No. 20"/>
                <w:sz w:val="24"/>
                <w:szCs w:val="24"/>
                <w:lang w:eastAsia="el-GR"/>
              </w:rPr>
              <w:t>76.10.06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Κέρδη από αναστροφή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συμμετοχών σε κοινοπραξίες:  84.00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76.11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Κέρδη από αναστροφή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απομείωσης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λοιπών περιουσιακών στοιχείων:  84.00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77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Κέρδη από επιμέτρηση στην εύλογη αξία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77.01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εύλογης αξίας ενσώματων πάγιων στοιχείων:  Δεν υπάρχει 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77.02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εύλογης αξίας βιολογικών περιουσιακών στοιχείων: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77.03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εύλογης αξίας χρηματοοικονομικών στοιχείων: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78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Φόρος εισοδήματος έσοδο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78.01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Τρέχων φόρος περιόδου έσοδο: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78.02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Αναβαλλόμενος φόρος περιόδου έσοδο: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78.03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Κέρδη από αναστροφή προβλέψεων για διαφορές φορολογικού ελέγχου φόρου εισοδήματος: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79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Ασυνήθη έσοδα και κέρδη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79.00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Ασυνήθη έσοδα και κέρδη : 81.01, 81.03, 82.01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79.00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Ασυνήθη έσοδα και κέρδη από συνδεδεμένες οντότητες 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80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 xml:space="preserve">Έξοδα σε </w:t>
            </w:r>
            <w:proofErr w:type="spellStart"/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ιδιοπαραγωγή</w:t>
            </w:r>
            <w:proofErr w:type="spellEnd"/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:  78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80.01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Παροχές σε εργαζόμενους σε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ιδιοπαραγωγή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80.02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Αποσβέσεις σε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ιδιοπαραγωγή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80.03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Άλλα λειτουργικά έξοδα σε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ιδιοπαραγωγή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80.04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Χρηματοοικονομικά έξοδα σε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ιδιοπαραγωγή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80.05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Προβλέψεις σε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ιδιοπαραγωγή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81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proofErr w:type="spellStart"/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Δοσοληπτικοί</w:t>
            </w:r>
            <w:proofErr w:type="spellEnd"/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 xml:space="preserve"> λογαριασμοί υποκαταστημάτων αυτοτελούς παρακολούθησης:  48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81.01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Χρεωστικοί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δοσοληπτικοί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λογαριασμοί υποκαταστημάτων / κεντρικού: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81.02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Πιστωτικοί </w:t>
            </w:r>
            <w:proofErr w:type="spellStart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δοσοληπτικοί</w:t>
            </w:r>
            <w:proofErr w:type="spellEnd"/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λογαριασμοί υποκαταστημάτων / κεντρικού:  Δεν υπάρχει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82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l-GR"/>
              </w:rPr>
              <w:t>Αποτέλεσμα (κέρδη ή ζημίες) περιόδου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82.01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Συγκέντρωση αποτελεσματικών λογαριασμών:  80.00, 80.01, 80.02, 80.03, 86.00, 86.01, 86.02, 86.03, 86.99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82.02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Καθαρό κέρδος περιόδου (μετά από φόρους):  88.00</w:t>
            </w:r>
          </w:p>
        </w:tc>
      </w:tr>
      <w:tr w:rsidR="00755992" w:rsidRPr="00243850" w:rsidTr="002C58DD">
        <w:trPr>
          <w:trHeight w:val="315"/>
          <w:tblCellSpacing w:w="0" w:type="dxa"/>
        </w:trPr>
        <w:tc>
          <w:tcPr>
            <w:tcW w:w="1986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82.03</w:t>
            </w:r>
          </w:p>
        </w:tc>
        <w:tc>
          <w:tcPr>
            <w:tcW w:w="7371" w:type="dxa"/>
            <w:vAlign w:val="center"/>
            <w:hideMark/>
          </w:tcPr>
          <w:p w:rsidR="00755992" w:rsidRPr="00755992" w:rsidRDefault="00755992" w:rsidP="00755992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 w:rsidRPr="0075599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>Καθαρή ζημία περιόδου (μετά από φόρους):  88.01</w:t>
            </w:r>
          </w:p>
        </w:tc>
      </w:tr>
    </w:tbl>
    <w:p w:rsidR="00923080" w:rsidRDefault="00923080"/>
    <w:sectPr w:rsidR="00923080" w:rsidSect="00923080">
      <w:head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F7" w:rsidRDefault="003048F7" w:rsidP="00243850">
      <w:pPr>
        <w:spacing w:line="240" w:lineRule="auto"/>
      </w:pPr>
      <w:r>
        <w:separator/>
      </w:r>
    </w:p>
  </w:endnote>
  <w:endnote w:type="continuationSeparator" w:id="0">
    <w:p w:rsidR="003048F7" w:rsidRDefault="003048F7" w:rsidP="00243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F7" w:rsidRDefault="003048F7" w:rsidP="00243850">
      <w:pPr>
        <w:spacing w:line="240" w:lineRule="auto"/>
      </w:pPr>
      <w:r>
        <w:separator/>
      </w:r>
    </w:p>
  </w:footnote>
  <w:footnote w:type="continuationSeparator" w:id="0">
    <w:p w:rsidR="003048F7" w:rsidRDefault="003048F7" w:rsidP="00243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0" w:rsidRPr="00243850" w:rsidRDefault="00243850">
    <w:pPr>
      <w:pStyle w:val="Header"/>
      <w:rPr>
        <w:rFonts w:ascii="Georgia" w:hAnsi="Georgia"/>
        <w:sz w:val="16"/>
        <w:szCs w:val="16"/>
      </w:rPr>
    </w:pPr>
    <w:r w:rsidRPr="00243850">
      <w:rPr>
        <w:rFonts w:ascii="Georgia" w:hAnsi="Georgia"/>
        <w:sz w:val="16"/>
        <w:szCs w:val="16"/>
      </w:rPr>
      <w:t xml:space="preserve">Τ.Ε.Ι. Θεσσαλίας – Σ.Δ.Ο. –Τμήμα Λογιστικής &amp; Χρηματοοικονομικής </w:t>
    </w:r>
  </w:p>
  <w:p w:rsidR="00243850" w:rsidRDefault="002C58DD">
    <w:pPr>
      <w:pStyle w:val="Head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19050</wp:posOffset>
              </wp:positionV>
              <wp:extent cx="5327650" cy="0"/>
              <wp:effectExtent l="13970" t="9525" r="1143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76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5pt;margin-top:1.5pt;width:41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3FB"/>
    <w:multiLevelType w:val="multilevel"/>
    <w:tmpl w:val="5F80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3354F"/>
    <w:multiLevelType w:val="multilevel"/>
    <w:tmpl w:val="858A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43094"/>
    <w:multiLevelType w:val="multilevel"/>
    <w:tmpl w:val="9D08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D1E05"/>
    <w:multiLevelType w:val="multilevel"/>
    <w:tmpl w:val="8E50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547D9"/>
    <w:multiLevelType w:val="multilevel"/>
    <w:tmpl w:val="2646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3074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92"/>
    <w:rsid w:val="00026699"/>
    <w:rsid w:val="00074115"/>
    <w:rsid w:val="00105C76"/>
    <w:rsid w:val="0019353F"/>
    <w:rsid w:val="001A65F1"/>
    <w:rsid w:val="00243850"/>
    <w:rsid w:val="00280FBB"/>
    <w:rsid w:val="002C58DD"/>
    <w:rsid w:val="003048F7"/>
    <w:rsid w:val="00315EAD"/>
    <w:rsid w:val="00380EFB"/>
    <w:rsid w:val="00460793"/>
    <w:rsid w:val="0048562D"/>
    <w:rsid w:val="004A3250"/>
    <w:rsid w:val="004E5B51"/>
    <w:rsid w:val="00520F8F"/>
    <w:rsid w:val="005A5603"/>
    <w:rsid w:val="005B6032"/>
    <w:rsid w:val="005C0FA5"/>
    <w:rsid w:val="005F53A1"/>
    <w:rsid w:val="00634ED2"/>
    <w:rsid w:val="007247DA"/>
    <w:rsid w:val="007517F3"/>
    <w:rsid w:val="00755992"/>
    <w:rsid w:val="00793039"/>
    <w:rsid w:val="007D2561"/>
    <w:rsid w:val="007D5B61"/>
    <w:rsid w:val="00822A1E"/>
    <w:rsid w:val="008435E0"/>
    <w:rsid w:val="00866FFC"/>
    <w:rsid w:val="00881760"/>
    <w:rsid w:val="008E2D76"/>
    <w:rsid w:val="00923080"/>
    <w:rsid w:val="009B316C"/>
    <w:rsid w:val="00A04EFB"/>
    <w:rsid w:val="00BB1CB9"/>
    <w:rsid w:val="00BD31B1"/>
    <w:rsid w:val="00C90112"/>
    <w:rsid w:val="00CF3DB3"/>
    <w:rsid w:val="00D452AC"/>
    <w:rsid w:val="00D65CDF"/>
    <w:rsid w:val="00D763D5"/>
    <w:rsid w:val="00E737B9"/>
    <w:rsid w:val="00E96919"/>
    <w:rsid w:val="00EB22B8"/>
    <w:rsid w:val="00EB27E4"/>
    <w:rsid w:val="00EC166F"/>
    <w:rsid w:val="00ED0B95"/>
    <w:rsid w:val="00EE242F"/>
    <w:rsid w:val="00F12C00"/>
    <w:rsid w:val="00F9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80"/>
    <w:pPr>
      <w:spacing w:line="360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75599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9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5992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5992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5992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55992"/>
    <w:rPr>
      <w:rFonts w:ascii="Arial" w:eastAsia="Times New Roman" w:hAnsi="Arial" w:cs="Arial"/>
      <w:vanish/>
      <w:sz w:val="16"/>
      <w:szCs w:val="16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7559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5992"/>
    <w:rPr>
      <w:color w:val="800080"/>
      <w:u w:val="single"/>
    </w:rPr>
  </w:style>
  <w:style w:type="character" w:customStyle="1" w:styleId="fo-icon">
    <w:name w:val="fo-icon"/>
    <w:basedOn w:val="DefaultParagraphFont"/>
    <w:rsid w:val="00755992"/>
  </w:style>
  <w:style w:type="paragraph" w:styleId="NormalWeb">
    <w:name w:val="Normal (Web)"/>
    <w:basedOn w:val="Normal"/>
    <w:uiPriority w:val="99"/>
    <w:semiHidden/>
    <w:unhideWhenUsed/>
    <w:rsid w:val="007559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7559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385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50"/>
  </w:style>
  <w:style w:type="paragraph" w:styleId="Footer">
    <w:name w:val="footer"/>
    <w:basedOn w:val="Normal"/>
    <w:link w:val="FooterChar"/>
    <w:uiPriority w:val="99"/>
    <w:semiHidden/>
    <w:unhideWhenUsed/>
    <w:rsid w:val="0024385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850"/>
  </w:style>
  <w:style w:type="paragraph" w:styleId="BalloonText">
    <w:name w:val="Balloon Text"/>
    <w:basedOn w:val="Normal"/>
    <w:link w:val="BalloonTextChar"/>
    <w:uiPriority w:val="99"/>
    <w:semiHidden/>
    <w:unhideWhenUsed/>
    <w:rsid w:val="002438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80"/>
    <w:pPr>
      <w:spacing w:line="360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75599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9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5992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5992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5992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55992"/>
    <w:rPr>
      <w:rFonts w:ascii="Arial" w:eastAsia="Times New Roman" w:hAnsi="Arial" w:cs="Arial"/>
      <w:vanish/>
      <w:sz w:val="16"/>
      <w:szCs w:val="16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7559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5992"/>
    <w:rPr>
      <w:color w:val="800080"/>
      <w:u w:val="single"/>
    </w:rPr>
  </w:style>
  <w:style w:type="character" w:customStyle="1" w:styleId="fo-icon">
    <w:name w:val="fo-icon"/>
    <w:basedOn w:val="DefaultParagraphFont"/>
    <w:rsid w:val="00755992"/>
  </w:style>
  <w:style w:type="paragraph" w:styleId="NormalWeb">
    <w:name w:val="Normal (Web)"/>
    <w:basedOn w:val="Normal"/>
    <w:uiPriority w:val="99"/>
    <w:semiHidden/>
    <w:unhideWhenUsed/>
    <w:rsid w:val="007559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7559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385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50"/>
  </w:style>
  <w:style w:type="paragraph" w:styleId="Footer">
    <w:name w:val="footer"/>
    <w:basedOn w:val="Normal"/>
    <w:link w:val="FooterChar"/>
    <w:uiPriority w:val="99"/>
    <w:semiHidden/>
    <w:unhideWhenUsed/>
    <w:rsid w:val="0024385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850"/>
  </w:style>
  <w:style w:type="paragraph" w:styleId="BalloonText">
    <w:name w:val="Balloon Text"/>
    <w:basedOn w:val="Normal"/>
    <w:link w:val="BalloonTextChar"/>
    <w:uiPriority w:val="99"/>
    <w:semiHidden/>
    <w:unhideWhenUsed/>
    <w:rsid w:val="002438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4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0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7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-nc-nd/3.0/deed.e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10" Type="http://schemas.openxmlformats.org/officeDocument/2006/relationships/hyperlink" Target="http://www.teilar.gr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dulll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8D255-7D28-4314-82E2-F7BFDE0409B4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59E62223-49ED-44CA-B22C-49D99662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3471</Words>
  <Characters>24119</Characters>
  <Application>Microsoft Office Word</Application>
  <DocSecurity>0</DocSecurity>
  <Lines>1031</Lines>
  <Paragraphs>901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27174</CharactersWithSpaces>
  <SharedDoc>false</SharedDoc>
  <HLinks>
    <vt:vector size="18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http://www.edulll.gr/</vt:lpwstr>
      </vt:variant>
      <vt:variant>
        <vt:lpwstr/>
      </vt:variant>
      <vt:variant>
        <vt:i4>13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http://creativecommons.org/licenses/by-nc-nd/3.0/deed.el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http://www.teilar.gr/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Ενότητα 15</dc:title>
  <dc:subject/>
  <dc:creator>sv</dc:creator>
  <cp:keywords/>
  <dc:description/>
  <cp:lastModifiedBy>chris</cp:lastModifiedBy>
  <cp:revision>2</cp:revision>
  <dcterms:created xsi:type="dcterms:W3CDTF">2016-01-25T14:06:00Z</dcterms:created>
  <dcterms:modified xsi:type="dcterms:W3CDTF">2016-01-25T14:06:00Z</dcterms:modified>
</cp:coreProperties>
</file>